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0DFB5" w14:textId="77777777" w:rsidR="00BB6AA6" w:rsidRPr="002129DC" w:rsidRDefault="0068027E" w:rsidP="003E2A23">
      <w:pPr>
        <w:jc w:val="center"/>
        <w:rPr>
          <w:b/>
          <w:lang w:val="en-GB"/>
        </w:rPr>
      </w:pPr>
      <w:r w:rsidRPr="002129DC">
        <w:rPr>
          <w:b/>
          <w:noProof/>
          <w:lang w:val="en-GB" w:eastAsia="en-GB"/>
        </w:rPr>
        <w:drawing>
          <wp:inline distT="0" distB="0" distL="0" distR="0" wp14:anchorId="204C7CF7" wp14:editId="3162CA53">
            <wp:extent cx="3089313" cy="685800"/>
            <wp:effectExtent l="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2233" cy="68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2FED6" w14:textId="77777777" w:rsidR="00BB6AA6" w:rsidRPr="002129DC" w:rsidRDefault="00BB6AA6" w:rsidP="003E2A23">
      <w:pPr>
        <w:jc w:val="center"/>
        <w:rPr>
          <w:b/>
          <w:lang w:val="en-GB"/>
        </w:rPr>
      </w:pPr>
    </w:p>
    <w:p w14:paraId="06276104" w14:textId="77777777" w:rsidR="00722902" w:rsidRPr="002129DC" w:rsidRDefault="00722902" w:rsidP="00722902">
      <w:pPr>
        <w:jc w:val="center"/>
        <w:rPr>
          <w:b/>
          <w:lang w:val="en-GB"/>
        </w:rPr>
      </w:pPr>
    </w:p>
    <w:p w14:paraId="2FC180F0" w14:textId="77777777" w:rsidR="00722902" w:rsidRPr="002129DC" w:rsidRDefault="00722902" w:rsidP="00722902">
      <w:pPr>
        <w:jc w:val="center"/>
        <w:rPr>
          <w:b/>
          <w:lang w:val="en-GB"/>
        </w:rPr>
      </w:pPr>
    </w:p>
    <w:p w14:paraId="2D7C50A7" w14:textId="77777777" w:rsidR="00722902" w:rsidRPr="002129DC" w:rsidRDefault="00722902" w:rsidP="00722902">
      <w:pPr>
        <w:jc w:val="center"/>
        <w:rPr>
          <w:b/>
          <w:sz w:val="32"/>
          <w:lang w:val="en-GB"/>
        </w:rPr>
      </w:pPr>
      <w:r w:rsidRPr="002129DC">
        <w:rPr>
          <w:b/>
          <w:sz w:val="32"/>
          <w:lang w:val="en-GB"/>
        </w:rPr>
        <w:t>Update</w:t>
      </w:r>
      <w:r w:rsidR="003748F6">
        <w:rPr>
          <w:b/>
          <w:sz w:val="32"/>
          <w:lang w:val="en-GB"/>
        </w:rPr>
        <w:t xml:space="preserve"> #1</w:t>
      </w:r>
      <w:r w:rsidR="00033639">
        <w:rPr>
          <w:b/>
          <w:sz w:val="32"/>
          <w:lang w:val="en-GB"/>
        </w:rPr>
        <w:t>7</w:t>
      </w:r>
      <w:r w:rsidRPr="002129DC">
        <w:rPr>
          <w:b/>
          <w:sz w:val="32"/>
          <w:lang w:val="en-GB"/>
        </w:rPr>
        <w:t xml:space="preserve"> on the AIDNPC clinical programme</w:t>
      </w:r>
    </w:p>
    <w:p w14:paraId="152EEBDD" w14:textId="77777777" w:rsidR="00A53B91" w:rsidRPr="002129DC" w:rsidRDefault="00A53B91" w:rsidP="00722902">
      <w:pPr>
        <w:jc w:val="center"/>
        <w:rPr>
          <w:i/>
          <w:lang w:val="en-GB"/>
        </w:rPr>
      </w:pPr>
      <w:r w:rsidRPr="002129DC">
        <w:rPr>
          <w:i/>
          <w:lang w:val="en-GB"/>
        </w:rPr>
        <w:t>(arimoclomol in treatment of Niemann-Pick disease type C)</w:t>
      </w:r>
    </w:p>
    <w:p w14:paraId="441B44EB" w14:textId="77777777" w:rsidR="00722902" w:rsidRPr="002129DC" w:rsidRDefault="00722902" w:rsidP="00722902">
      <w:pPr>
        <w:jc w:val="center"/>
        <w:rPr>
          <w:b/>
          <w:lang w:val="en-GB"/>
        </w:rPr>
      </w:pPr>
    </w:p>
    <w:p w14:paraId="652FB7B9" w14:textId="77777777" w:rsidR="006A41E3" w:rsidRPr="002129DC" w:rsidRDefault="006A41E3" w:rsidP="00242928">
      <w:pPr>
        <w:rPr>
          <w:b/>
          <w:lang w:val="en-GB"/>
        </w:rPr>
      </w:pPr>
    </w:p>
    <w:p w14:paraId="72A81191" w14:textId="77777777" w:rsidR="00722902" w:rsidRPr="002129DC" w:rsidRDefault="00A10BC4" w:rsidP="00722902">
      <w:pPr>
        <w:jc w:val="center"/>
        <w:rPr>
          <w:b/>
          <w:lang w:val="en-GB"/>
        </w:rPr>
      </w:pPr>
      <w:r>
        <w:rPr>
          <w:b/>
          <w:lang w:val="en-GB"/>
        </w:rPr>
        <w:t>Interim information bulletin</w:t>
      </w:r>
      <w:r w:rsidR="00FD5D2D">
        <w:rPr>
          <w:b/>
          <w:lang w:val="en-GB"/>
        </w:rPr>
        <w:t xml:space="preserve"> (following </w:t>
      </w:r>
      <w:r w:rsidR="003F293A">
        <w:rPr>
          <w:b/>
          <w:lang w:val="en-GB"/>
        </w:rPr>
        <w:t xml:space="preserve">the </w:t>
      </w:r>
      <w:r w:rsidR="00FD5D2D">
        <w:rPr>
          <w:b/>
          <w:lang w:val="en-GB"/>
        </w:rPr>
        <w:t>Sept. 28</w:t>
      </w:r>
      <w:r w:rsidR="003F293A" w:rsidRPr="003F293A">
        <w:rPr>
          <w:b/>
          <w:vertAlign w:val="superscript"/>
          <w:lang w:val="en-GB"/>
        </w:rPr>
        <w:t>th</w:t>
      </w:r>
      <w:r w:rsidR="00FD5D2D">
        <w:rPr>
          <w:b/>
          <w:lang w:val="en-GB"/>
        </w:rPr>
        <w:t xml:space="preserve"> call)</w:t>
      </w:r>
    </w:p>
    <w:p w14:paraId="34B6CDF4" w14:textId="77777777" w:rsidR="00722902" w:rsidRPr="002129DC" w:rsidRDefault="00722902" w:rsidP="002937D3">
      <w:pPr>
        <w:rPr>
          <w:b/>
          <w:lang w:val="en-GB"/>
        </w:rPr>
      </w:pPr>
    </w:p>
    <w:p w14:paraId="6407E13B" w14:textId="77777777" w:rsidR="00123D7B" w:rsidRPr="002129DC" w:rsidRDefault="00123D7B" w:rsidP="008E6546">
      <w:pPr>
        <w:rPr>
          <w:b/>
          <w:lang w:val="en-GB"/>
        </w:rPr>
      </w:pPr>
    </w:p>
    <w:p w14:paraId="1D587B3D" w14:textId="77777777" w:rsidR="00D51BD7" w:rsidRPr="002129DC" w:rsidRDefault="00D51BD7" w:rsidP="003E2A23">
      <w:pPr>
        <w:jc w:val="center"/>
        <w:rPr>
          <w:b/>
          <w:lang w:val="en-GB"/>
        </w:rPr>
      </w:pPr>
    </w:p>
    <w:p w14:paraId="667C8EBA" w14:textId="77777777" w:rsidR="00360434" w:rsidRPr="002129DC" w:rsidRDefault="00360434" w:rsidP="00360434">
      <w:pPr>
        <w:rPr>
          <w:rFonts w:ascii="Arial Black" w:hAnsi="Arial Black"/>
          <w:lang w:val="en-GB"/>
        </w:rPr>
      </w:pPr>
      <w:r w:rsidRPr="002129DC">
        <w:rPr>
          <w:rFonts w:ascii="Arial Black" w:hAnsi="Arial Black"/>
          <w:lang w:val="en-GB"/>
        </w:rPr>
        <w:t>SUMMARY</w:t>
      </w:r>
    </w:p>
    <w:p w14:paraId="537C5EEB" w14:textId="77777777" w:rsidR="00242928" w:rsidRDefault="00033639" w:rsidP="00536F90">
      <w:pPr>
        <w:pStyle w:val="ListParagraph"/>
        <w:numPr>
          <w:ilvl w:val="0"/>
          <w:numId w:val="9"/>
        </w:numPr>
        <w:spacing w:before="120" w:line="360" w:lineRule="auto"/>
        <w:rPr>
          <w:lang w:val="en-GB"/>
        </w:rPr>
      </w:pPr>
      <w:r>
        <w:rPr>
          <w:lang w:val="en-GB"/>
        </w:rPr>
        <w:t>001</w:t>
      </w:r>
      <w:r w:rsidR="00536F90" w:rsidRPr="00FB2E6C">
        <w:rPr>
          <w:lang w:val="en-GB"/>
        </w:rPr>
        <w:t xml:space="preserve"> Study: </w:t>
      </w:r>
      <w:r>
        <w:rPr>
          <w:lang w:val="en-GB"/>
        </w:rPr>
        <w:t>Conclusions and initial learnings</w:t>
      </w:r>
    </w:p>
    <w:p w14:paraId="6552460B" w14:textId="77777777" w:rsidR="00033639" w:rsidRDefault="00033639" w:rsidP="00536F90">
      <w:pPr>
        <w:pStyle w:val="ListParagraph"/>
        <w:numPr>
          <w:ilvl w:val="0"/>
          <w:numId w:val="9"/>
        </w:numPr>
        <w:spacing w:before="120" w:line="360" w:lineRule="auto"/>
        <w:rPr>
          <w:lang w:val="en-GB"/>
        </w:rPr>
      </w:pPr>
      <w:r>
        <w:rPr>
          <w:lang w:val="en-GB"/>
        </w:rPr>
        <w:t>002 Study: Status and timelines</w:t>
      </w:r>
    </w:p>
    <w:p w14:paraId="20560AAF" w14:textId="77777777" w:rsidR="00FD5D2D" w:rsidRPr="00FD5D2D" w:rsidRDefault="00FD5D2D" w:rsidP="00FD5D2D">
      <w:pPr>
        <w:pStyle w:val="ListParagraph"/>
        <w:numPr>
          <w:ilvl w:val="0"/>
          <w:numId w:val="9"/>
        </w:numPr>
        <w:spacing w:before="120" w:line="360" w:lineRule="auto"/>
        <w:rPr>
          <w:lang w:val="en-GB"/>
        </w:rPr>
      </w:pPr>
      <w:r w:rsidRPr="00FD5D2D">
        <w:rPr>
          <w:lang w:val="en-GB"/>
        </w:rPr>
        <w:t xml:space="preserve">Under-2-year-olds in study </w:t>
      </w:r>
    </w:p>
    <w:p w14:paraId="1FE4AAA0" w14:textId="77777777" w:rsidR="00007390" w:rsidRDefault="00FA0CD2" w:rsidP="00536F90">
      <w:pPr>
        <w:pStyle w:val="ListParagraph"/>
        <w:numPr>
          <w:ilvl w:val="0"/>
          <w:numId w:val="9"/>
        </w:numPr>
        <w:spacing w:before="120" w:line="360" w:lineRule="auto"/>
        <w:rPr>
          <w:lang w:val="en-GB"/>
        </w:rPr>
      </w:pPr>
      <w:r>
        <w:rPr>
          <w:lang w:val="en-GB"/>
        </w:rPr>
        <w:t>Key assessment</w:t>
      </w:r>
      <w:r w:rsidR="000E5FB3">
        <w:rPr>
          <w:lang w:val="en-GB"/>
        </w:rPr>
        <w:t xml:space="preserve"> of study outcome</w:t>
      </w:r>
      <w:r w:rsidR="00BF5F95">
        <w:rPr>
          <w:lang w:val="en-GB"/>
        </w:rPr>
        <w:t xml:space="preserve"> </w:t>
      </w:r>
    </w:p>
    <w:p w14:paraId="227287CE" w14:textId="77777777" w:rsidR="003F293A" w:rsidRPr="00FB2E6C" w:rsidRDefault="003F293A" w:rsidP="00536F90">
      <w:pPr>
        <w:pStyle w:val="ListParagraph"/>
        <w:numPr>
          <w:ilvl w:val="0"/>
          <w:numId w:val="9"/>
        </w:numPr>
        <w:spacing w:before="120" w:line="360" w:lineRule="auto"/>
        <w:rPr>
          <w:lang w:val="en-GB"/>
        </w:rPr>
      </w:pPr>
      <w:r w:rsidRPr="003F293A">
        <w:rPr>
          <w:lang w:val="en-GB"/>
        </w:rPr>
        <w:t>Orphazyme to present at INPDA meeting</w:t>
      </w:r>
    </w:p>
    <w:p w14:paraId="1ED0AED9" w14:textId="77777777" w:rsidR="004154A1" w:rsidRDefault="004154A1" w:rsidP="00360434">
      <w:pPr>
        <w:rPr>
          <w:lang w:val="en-GB"/>
        </w:rPr>
      </w:pPr>
    </w:p>
    <w:p w14:paraId="46D07979" w14:textId="77777777" w:rsidR="004154A1" w:rsidRDefault="004154A1" w:rsidP="00360434">
      <w:pPr>
        <w:rPr>
          <w:lang w:val="en-GB"/>
        </w:rPr>
      </w:pPr>
    </w:p>
    <w:p w14:paraId="46D0EB1A" w14:textId="77777777" w:rsidR="00184A68" w:rsidRDefault="00184A68" w:rsidP="00360434">
      <w:pPr>
        <w:rPr>
          <w:lang w:val="en-GB"/>
        </w:rPr>
      </w:pPr>
    </w:p>
    <w:p w14:paraId="57D81D9C" w14:textId="77777777" w:rsidR="0068027E" w:rsidRPr="002129DC" w:rsidRDefault="0068027E" w:rsidP="00360434">
      <w:pPr>
        <w:rPr>
          <w:lang w:val="en-GB"/>
        </w:rPr>
      </w:pPr>
    </w:p>
    <w:p w14:paraId="18F4C95C" w14:textId="77777777" w:rsidR="00DE69A6" w:rsidRPr="002129DC" w:rsidRDefault="0068027E" w:rsidP="00360434">
      <w:pPr>
        <w:rPr>
          <w:lang w:val="en-GB"/>
        </w:rPr>
      </w:pPr>
      <w:r w:rsidRPr="002129DC">
        <w:rPr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5F8ADA4" wp14:editId="202A3E1A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57600" cy="87566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756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D802E" w14:textId="77777777" w:rsidR="00DE69A6" w:rsidRPr="002129DC" w:rsidRDefault="00DE69A6" w:rsidP="00360434">
      <w:pPr>
        <w:rPr>
          <w:lang w:val="en-GB"/>
        </w:rPr>
      </w:pPr>
      <w:r w:rsidRPr="002129DC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D36E7" wp14:editId="1D4FEC06">
                <wp:simplePos x="0" y="0"/>
                <wp:positionH relativeFrom="column">
                  <wp:posOffset>346710</wp:posOffset>
                </wp:positionH>
                <wp:positionV relativeFrom="paragraph">
                  <wp:posOffset>314960</wp:posOffset>
                </wp:positionV>
                <wp:extent cx="4800600" cy="1463040"/>
                <wp:effectExtent l="0" t="0" r="25400" b="3556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91685" w14:textId="77777777" w:rsidR="008D1F42" w:rsidRPr="00DE69A6" w:rsidRDefault="008D1F42" w:rsidP="00123D7B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DE69A6">
                              <w:rPr>
                                <w:b/>
                                <w:i/>
                                <w:sz w:val="22"/>
                              </w:rPr>
                              <w:t>The AIDNPC clinical trial programme consists of two studies:</w:t>
                            </w:r>
                          </w:p>
                          <w:p w14:paraId="5941B752" w14:textId="413680B0" w:rsidR="008D1F42" w:rsidRDefault="003748F6" w:rsidP="00DE69A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/>
                              <w:ind w:left="360"/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The ‘-001’ Observational Study</w:t>
                            </w:r>
                            <w:r w:rsidR="00835F58">
                              <w:rPr>
                                <w:b/>
                                <w:i/>
                                <w:sz w:val="22"/>
                              </w:rPr>
                              <w:t>,</w:t>
                            </w:r>
                            <w:r w:rsidR="00651D2B"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recruiting</w:t>
                            </w:r>
                            <w:r w:rsidR="00651D2B">
                              <w:rPr>
                                <w:b/>
                                <w:i/>
                                <w:sz w:val="22"/>
                              </w:rPr>
                              <w:t xml:space="preserve"> closed</w:t>
                            </w:r>
                            <w:r w:rsidR="008D1F42" w:rsidRPr="00DE69A6">
                              <w:rPr>
                                <w:b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492297CF" w14:textId="77777777" w:rsidR="008D1F42" w:rsidRPr="00DE69A6" w:rsidRDefault="008D1F42" w:rsidP="00DE69A6">
                            <w:pPr>
                              <w:spacing w:before="60"/>
                              <w:rPr>
                                <w:b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4F26C3EE" w14:textId="28CDE346" w:rsidR="008D1F42" w:rsidRPr="00DE69A6" w:rsidRDefault="008D1F42" w:rsidP="00B23E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0"/>
                              <w:ind w:left="360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DE69A6">
                              <w:rPr>
                                <w:b/>
                                <w:i/>
                                <w:sz w:val="22"/>
                              </w:rPr>
                              <w:t xml:space="preserve">The ‘-002’ </w:t>
                            </w:r>
                            <w:r w:rsidR="00DC0CB9">
                              <w:rPr>
                                <w:b/>
                                <w:i/>
                                <w:sz w:val="22"/>
                              </w:rPr>
                              <w:t xml:space="preserve">Interventional Study, </w:t>
                            </w:r>
                            <w:bookmarkStart w:id="0" w:name="_GoBack"/>
                            <w:bookmarkEnd w:id="0"/>
                            <w:r w:rsidR="00DC0CB9">
                              <w:rPr>
                                <w:b/>
                                <w:i/>
                                <w:sz w:val="22"/>
                              </w:rPr>
                              <w:t>recruiting</w:t>
                            </w:r>
                            <w:r w:rsidR="00651D2B">
                              <w:rPr>
                                <w:b/>
                                <w:i/>
                                <w:sz w:val="22"/>
                              </w:rPr>
                              <w:t xml:space="preserve"> closed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D36E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.3pt;margin-top:24.8pt;width:378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" filled="f" strokecolor="#a5a5a5 [2092]" strokeweight=".5pt">
                <v:textbox>
                  <w:txbxContent>
                    <w:p w14:paraId="2ED91685" w14:textId="77777777" w:rsidR="008D1F42" w:rsidRPr="00DE69A6" w:rsidRDefault="008D1F42" w:rsidP="00123D7B">
                      <w:pPr>
                        <w:rPr>
                          <w:b/>
                          <w:i/>
                          <w:sz w:val="22"/>
                        </w:rPr>
                      </w:pPr>
                      <w:r w:rsidRPr="00DE69A6">
                        <w:rPr>
                          <w:b/>
                          <w:i/>
                          <w:sz w:val="22"/>
                        </w:rPr>
                        <w:t>The AIDNPC clinical trial programme consists of two studies:</w:t>
                      </w:r>
                    </w:p>
                    <w:p w14:paraId="5941B752" w14:textId="413680B0" w:rsidR="008D1F42" w:rsidRDefault="003748F6" w:rsidP="00DE69A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/>
                        <w:ind w:left="360"/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The ‘-001’ Observational Study</w:t>
                      </w:r>
                      <w:r w:rsidR="00835F58">
                        <w:rPr>
                          <w:b/>
                          <w:i/>
                          <w:sz w:val="22"/>
                        </w:rPr>
                        <w:t>,</w:t>
                      </w:r>
                      <w:r w:rsidR="00651D2B"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</w:rPr>
                        <w:t>recruiting</w:t>
                      </w:r>
                      <w:r w:rsidR="00651D2B">
                        <w:rPr>
                          <w:b/>
                          <w:i/>
                          <w:sz w:val="22"/>
                        </w:rPr>
                        <w:t xml:space="preserve"> closed</w:t>
                      </w:r>
                      <w:r w:rsidR="008D1F42" w:rsidRPr="00DE69A6">
                        <w:rPr>
                          <w:b/>
                          <w:i/>
                          <w:sz w:val="22"/>
                        </w:rPr>
                        <w:t>.</w:t>
                      </w:r>
                    </w:p>
                    <w:p w14:paraId="492297CF" w14:textId="77777777" w:rsidR="008D1F42" w:rsidRPr="00DE69A6" w:rsidRDefault="008D1F42" w:rsidP="00DE69A6">
                      <w:pPr>
                        <w:spacing w:before="60"/>
                        <w:rPr>
                          <w:b/>
                          <w:i/>
                          <w:sz w:val="4"/>
                          <w:szCs w:val="4"/>
                        </w:rPr>
                      </w:pPr>
                    </w:p>
                    <w:p w14:paraId="4F26C3EE" w14:textId="28CDE346" w:rsidR="008D1F42" w:rsidRPr="00DE69A6" w:rsidRDefault="008D1F42" w:rsidP="00B23E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0"/>
                        <w:ind w:left="360"/>
                        <w:rPr>
                          <w:b/>
                          <w:i/>
                          <w:sz w:val="22"/>
                        </w:rPr>
                      </w:pPr>
                      <w:r w:rsidRPr="00DE69A6">
                        <w:rPr>
                          <w:b/>
                          <w:i/>
                          <w:sz w:val="22"/>
                        </w:rPr>
                        <w:t xml:space="preserve">The ‘-002’ </w:t>
                      </w:r>
                      <w:r w:rsidR="00DC0CB9">
                        <w:rPr>
                          <w:b/>
                          <w:i/>
                          <w:sz w:val="22"/>
                        </w:rPr>
                        <w:t xml:space="preserve">Interventional Study, </w:t>
                      </w:r>
                      <w:bookmarkStart w:id="1" w:name="_GoBack"/>
                      <w:bookmarkEnd w:id="1"/>
                      <w:r w:rsidR="00DC0CB9">
                        <w:rPr>
                          <w:b/>
                          <w:i/>
                          <w:sz w:val="22"/>
                        </w:rPr>
                        <w:t>recruiting</w:t>
                      </w:r>
                      <w:r w:rsidR="00651D2B">
                        <w:rPr>
                          <w:b/>
                          <w:i/>
                          <w:sz w:val="22"/>
                        </w:rPr>
                        <w:t xml:space="preserve"> closed</w:t>
                      </w:r>
                      <w:r>
                        <w:rPr>
                          <w:b/>
                          <w:i/>
                          <w:sz w:val="22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98B0934" w14:textId="77777777" w:rsidR="00DE69A6" w:rsidRPr="002129DC" w:rsidRDefault="00DE69A6">
      <w:pPr>
        <w:rPr>
          <w:rFonts w:ascii="Arial Black" w:hAnsi="Arial Black"/>
          <w:lang w:val="en-GB"/>
        </w:rPr>
      </w:pPr>
      <w:r w:rsidRPr="002129DC">
        <w:rPr>
          <w:rFonts w:ascii="Arial Black" w:hAnsi="Arial Black"/>
          <w:lang w:val="en-GB"/>
        </w:rPr>
        <w:br w:type="page"/>
      </w:r>
    </w:p>
    <w:p w14:paraId="55ECD4FA" w14:textId="77777777" w:rsidR="0004638F" w:rsidRPr="002129DC" w:rsidRDefault="0004638F" w:rsidP="0004638F">
      <w:pPr>
        <w:rPr>
          <w:rFonts w:ascii="Arial Black" w:hAnsi="Arial Black"/>
          <w:lang w:val="en-GB"/>
        </w:rPr>
      </w:pPr>
      <w:r w:rsidRPr="0004638F">
        <w:rPr>
          <w:rFonts w:ascii="Arial Black" w:hAnsi="Arial Black"/>
          <w:lang w:val="en-GB"/>
        </w:rPr>
        <w:lastRenderedPageBreak/>
        <w:t>001 Study: Conclusions and initial learnings</w:t>
      </w:r>
    </w:p>
    <w:p w14:paraId="79B3576E" w14:textId="77777777" w:rsidR="00062838" w:rsidRDefault="0004638F" w:rsidP="0004638F">
      <w:pPr>
        <w:rPr>
          <w:lang w:val="en-GB"/>
        </w:rPr>
      </w:pPr>
      <w:r w:rsidRPr="0004638F">
        <w:rPr>
          <w:lang w:val="en-GB"/>
        </w:rPr>
        <w:t>Th</w:t>
      </w:r>
      <w:r>
        <w:rPr>
          <w:lang w:val="en-GB"/>
        </w:rPr>
        <w:t>e</w:t>
      </w:r>
      <w:r w:rsidR="00062838">
        <w:rPr>
          <w:lang w:val="en-GB"/>
        </w:rPr>
        <w:t xml:space="preserve"> </w:t>
      </w:r>
      <w:r>
        <w:rPr>
          <w:lang w:val="en-GB"/>
        </w:rPr>
        <w:t>study</w:t>
      </w:r>
      <w:r w:rsidR="00062838">
        <w:rPr>
          <w:lang w:val="en-GB"/>
        </w:rPr>
        <w:t xml:space="preserve"> </w:t>
      </w:r>
      <w:r>
        <w:rPr>
          <w:lang w:val="en-GB"/>
        </w:rPr>
        <w:t>was</w:t>
      </w:r>
      <w:r w:rsidR="00062838">
        <w:rPr>
          <w:lang w:val="en-GB"/>
        </w:rPr>
        <w:t xml:space="preserve"> </w:t>
      </w:r>
      <w:r>
        <w:rPr>
          <w:lang w:val="en-GB"/>
        </w:rPr>
        <w:t>recently</w:t>
      </w:r>
      <w:r w:rsidR="00062838">
        <w:rPr>
          <w:lang w:val="en-GB"/>
        </w:rPr>
        <w:t xml:space="preserve"> </w:t>
      </w:r>
      <w:r>
        <w:rPr>
          <w:lang w:val="en-GB"/>
        </w:rPr>
        <w:t>completed</w:t>
      </w:r>
      <w:r w:rsidR="00062838">
        <w:rPr>
          <w:lang w:val="en-GB"/>
        </w:rPr>
        <w:t xml:space="preserve"> in May 2017. </w:t>
      </w:r>
      <w:r w:rsidR="00FD5D2D">
        <w:rPr>
          <w:lang w:val="en-GB"/>
        </w:rPr>
        <w:t xml:space="preserve">A total of </w:t>
      </w:r>
      <w:r w:rsidRPr="0004638F">
        <w:rPr>
          <w:lang w:val="en-GB"/>
        </w:rPr>
        <w:t>35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patients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were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enrolled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across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12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sites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in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8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countries</w:t>
      </w:r>
      <w:r w:rsidR="00062838">
        <w:rPr>
          <w:lang w:val="en-GB"/>
        </w:rPr>
        <w:t xml:space="preserve">. </w:t>
      </w:r>
    </w:p>
    <w:p w14:paraId="702E0447" w14:textId="77777777" w:rsidR="00062838" w:rsidRDefault="00062838" w:rsidP="0004638F">
      <w:pPr>
        <w:rPr>
          <w:lang w:val="en-GB"/>
        </w:rPr>
      </w:pPr>
    </w:p>
    <w:p w14:paraId="30671899" w14:textId="77777777" w:rsidR="0004638F" w:rsidRDefault="0004638F" w:rsidP="0004638F">
      <w:pPr>
        <w:rPr>
          <w:lang w:val="en-GB"/>
        </w:rPr>
      </w:pPr>
      <w:r w:rsidRPr="0004638F">
        <w:rPr>
          <w:lang w:val="en-GB"/>
        </w:rPr>
        <w:t>The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primary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objective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of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the</w:t>
      </w:r>
      <w:r w:rsidR="00062838">
        <w:rPr>
          <w:lang w:val="en-GB"/>
        </w:rPr>
        <w:t xml:space="preserve"> 001 </w:t>
      </w:r>
      <w:r w:rsidRPr="0004638F">
        <w:rPr>
          <w:lang w:val="en-GB"/>
        </w:rPr>
        <w:t>stu</w:t>
      </w:r>
      <w:r w:rsidR="00062838">
        <w:rPr>
          <w:lang w:val="en-GB"/>
        </w:rPr>
        <w:t>dy was to characterize the indiv</w:t>
      </w:r>
      <w:r w:rsidRPr="0004638F">
        <w:rPr>
          <w:lang w:val="en-GB"/>
        </w:rPr>
        <w:t>idual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patient</w:t>
      </w:r>
      <w:r w:rsidR="00062838">
        <w:rPr>
          <w:lang w:val="en-GB"/>
        </w:rPr>
        <w:t xml:space="preserve">’s </w:t>
      </w:r>
      <w:r w:rsidRPr="0004638F">
        <w:rPr>
          <w:lang w:val="en-GB"/>
        </w:rPr>
        <w:t>disease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progression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profile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through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cl</w:t>
      </w:r>
      <w:r w:rsidR="00062838">
        <w:rPr>
          <w:lang w:val="en-GB"/>
        </w:rPr>
        <w:t xml:space="preserve">inical, biological and quality-of-life measures </w:t>
      </w:r>
      <w:r w:rsidRPr="0004638F">
        <w:rPr>
          <w:lang w:val="en-GB"/>
        </w:rPr>
        <w:t>recorded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prospectively,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as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well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as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the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historic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disease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information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collected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from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patient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medical</w:t>
      </w:r>
      <w:r w:rsidR="00062838">
        <w:rPr>
          <w:lang w:val="en-GB"/>
        </w:rPr>
        <w:t xml:space="preserve"> </w:t>
      </w:r>
      <w:r w:rsidRPr="0004638F">
        <w:rPr>
          <w:lang w:val="en-GB"/>
        </w:rPr>
        <w:t>records.</w:t>
      </w:r>
    </w:p>
    <w:p w14:paraId="7E276258" w14:textId="77777777" w:rsidR="003F293A" w:rsidRPr="0004638F" w:rsidRDefault="003F293A" w:rsidP="0004638F">
      <w:pPr>
        <w:rPr>
          <w:lang w:val="en-GB"/>
        </w:rPr>
      </w:pPr>
    </w:p>
    <w:p w14:paraId="47F4D616" w14:textId="77777777" w:rsidR="003F293A" w:rsidRDefault="003F293A" w:rsidP="003F293A">
      <w:pPr>
        <w:rPr>
          <w:lang w:val="en-GB"/>
        </w:rPr>
      </w:pPr>
      <w:r>
        <w:rPr>
          <w:lang w:val="en-GB"/>
        </w:rPr>
        <w:t xml:space="preserve">The 001 study </w:t>
      </w:r>
      <w:r w:rsidR="00651D2B">
        <w:rPr>
          <w:lang w:val="en-GB"/>
        </w:rPr>
        <w:t xml:space="preserve">has already </w:t>
      </w:r>
      <w:r>
        <w:rPr>
          <w:lang w:val="en-GB"/>
        </w:rPr>
        <w:t xml:space="preserve">provided us with some valuable learnings: </w:t>
      </w:r>
      <w:r w:rsidRPr="00062838">
        <w:rPr>
          <w:lang w:val="en-GB"/>
        </w:rPr>
        <w:t xml:space="preserve">The NPC-CSS </w:t>
      </w:r>
      <w:r>
        <w:rPr>
          <w:lang w:val="en-GB"/>
        </w:rPr>
        <w:t xml:space="preserve">disease </w:t>
      </w:r>
      <w:r w:rsidRPr="00062838">
        <w:rPr>
          <w:lang w:val="en-GB"/>
        </w:rPr>
        <w:t xml:space="preserve">score were completed </w:t>
      </w:r>
      <w:r>
        <w:rPr>
          <w:lang w:val="en-GB"/>
        </w:rPr>
        <w:t xml:space="preserve">by patients </w:t>
      </w:r>
      <w:r w:rsidRPr="00062838">
        <w:rPr>
          <w:lang w:val="en-GB"/>
        </w:rPr>
        <w:t>with a good complian</w:t>
      </w:r>
      <w:r>
        <w:rPr>
          <w:lang w:val="en-GB"/>
        </w:rPr>
        <w:t>ce, the skin biopsies</w:t>
      </w:r>
      <w:r w:rsidRPr="00062838">
        <w:rPr>
          <w:lang w:val="en-GB"/>
        </w:rPr>
        <w:t xml:space="preserve"> and blood test</w:t>
      </w:r>
      <w:r>
        <w:rPr>
          <w:lang w:val="en-GB"/>
        </w:rPr>
        <w:t>s</w:t>
      </w:r>
      <w:r w:rsidRPr="00062838">
        <w:rPr>
          <w:lang w:val="en-GB"/>
        </w:rPr>
        <w:t xml:space="preserve"> have been valuable for development and conformation of biomarkers</w:t>
      </w:r>
      <w:r>
        <w:rPr>
          <w:lang w:val="en-GB"/>
        </w:rPr>
        <w:t>, and we found that two-thirds of patients were treated with m</w:t>
      </w:r>
      <w:r w:rsidRPr="00062838">
        <w:rPr>
          <w:lang w:val="en-GB"/>
        </w:rPr>
        <w:t xml:space="preserve">iglustat as </w:t>
      </w:r>
      <w:r>
        <w:rPr>
          <w:lang w:val="en-GB"/>
        </w:rPr>
        <w:t xml:space="preserve">part of their </w:t>
      </w:r>
      <w:r w:rsidRPr="00062838">
        <w:rPr>
          <w:lang w:val="en-GB"/>
        </w:rPr>
        <w:t>standard of care</w:t>
      </w:r>
      <w:r>
        <w:rPr>
          <w:lang w:val="en-GB"/>
        </w:rPr>
        <w:t xml:space="preserve">. </w:t>
      </w:r>
      <w:r w:rsidR="00651D2B">
        <w:rPr>
          <w:lang w:val="en-GB"/>
        </w:rPr>
        <w:t>Once all data have been analysed, we expect to gain insight about biomarkers and how the disease evolves over time in greater detail</w:t>
      </w:r>
    </w:p>
    <w:p w14:paraId="16C5D73F" w14:textId="77777777" w:rsidR="003F293A" w:rsidRDefault="003F293A" w:rsidP="003F293A">
      <w:pPr>
        <w:rPr>
          <w:lang w:val="en-GB"/>
        </w:rPr>
      </w:pPr>
    </w:p>
    <w:p w14:paraId="3EDF49C7" w14:textId="77777777" w:rsidR="003F293A" w:rsidRPr="00E12706" w:rsidRDefault="003F293A" w:rsidP="003F293A">
      <w:pPr>
        <w:rPr>
          <w:rFonts w:ascii="Arial Black" w:hAnsi="Arial Black"/>
          <w:lang w:val="en-GB"/>
        </w:rPr>
      </w:pPr>
      <w:r w:rsidRPr="00E12706">
        <w:rPr>
          <w:rFonts w:ascii="Arial Black" w:hAnsi="Arial Black"/>
          <w:lang w:val="en-GB"/>
        </w:rPr>
        <w:t>002 Study: Status and timelines</w:t>
      </w:r>
    </w:p>
    <w:p w14:paraId="171E327C" w14:textId="77777777" w:rsidR="003F293A" w:rsidRDefault="003F293A" w:rsidP="003F293A">
      <w:pPr>
        <w:rPr>
          <w:lang w:val="en-GB"/>
        </w:rPr>
      </w:pPr>
      <w:r>
        <w:rPr>
          <w:lang w:val="en-GB"/>
        </w:rPr>
        <w:t>The f</w:t>
      </w:r>
      <w:r w:rsidRPr="00D651BF">
        <w:rPr>
          <w:lang w:val="en-GB"/>
        </w:rPr>
        <w:t xml:space="preserve">irst patient </w:t>
      </w:r>
      <w:r>
        <w:rPr>
          <w:lang w:val="en-GB"/>
        </w:rPr>
        <w:t>in the 002 study (a p</w:t>
      </w:r>
      <w:r w:rsidRPr="0004638F">
        <w:rPr>
          <w:lang w:val="en-GB"/>
        </w:rPr>
        <w:t>hase</w:t>
      </w:r>
      <w:r>
        <w:rPr>
          <w:lang w:val="en-GB"/>
        </w:rPr>
        <w:t xml:space="preserve"> </w:t>
      </w:r>
      <w:r w:rsidRPr="0004638F">
        <w:rPr>
          <w:lang w:val="en-GB"/>
        </w:rPr>
        <w:t>2/3</w:t>
      </w:r>
      <w:r>
        <w:rPr>
          <w:lang w:val="en-GB"/>
        </w:rPr>
        <w:t xml:space="preserve"> </w:t>
      </w:r>
      <w:r w:rsidRPr="0004638F">
        <w:rPr>
          <w:lang w:val="en-GB"/>
        </w:rPr>
        <w:t>trial</w:t>
      </w:r>
      <w:r>
        <w:rPr>
          <w:lang w:val="en-GB"/>
        </w:rPr>
        <w:t xml:space="preserve">) </w:t>
      </w:r>
      <w:r w:rsidRPr="00D651BF">
        <w:rPr>
          <w:lang w:val="en-GB"/>
        </w:rPr>
        <w:t>enrolled in June 2016</w:t>
      </w:r>
      <w:r>
        <w:rPr>
          <w:lang w:val="en-GB"/>
        </w:rPr>
        <w:t>, and the l</w:t>
      </w:r>
      <w:r w:rsidRPr="00D651BF">
        <w:rPr>
          <w:lang w:val="en-GB"/>
        </w:rPr>
        <w:t>a</w:t>
      </w:r>
      <w:r>
        <w:rPr>
          <w:lang w:val="en-GB"/>
        </w:rPr>
        <w:t xml:space="preserve">st patient enrolled in May 2017. A total of </w:t>
      </w:r>
      <w:r w:rsidRPr="00D651BF">
        <w:rPr>
          <w:lang w:val="en-GB"/>
        </w:rPr>
        <w:t xml:space="preserve">50 patients enrolled and </w:t>
      </w:r>
      <w:r>
        <w:rPr>
          <w:lang w:val="en-GB"/>
        </w:rPr>
        <w:t xml:space="preserve">were </w:t>
      </w:r>
      <w:r w:rsidRPr="00D651BF">
        <w:rPr>
          <w:lang w:val="en-GB"/>
        </w:rPr>
        <w:t>randomized</w:t>
      </w:r>
      <w:r>
        <w:rPr>
          <w:lang w:val="en-GB"/>
        </w:rPr>
        <w:t xml:space="preserve">, of which a total of </w:t>
      </w:r>
      <w:r w:rsidRPr="0004638F">
        <w:rPr>
          <w:lang w:val="en-GB"/>
        </w:rPr>
        <w:t>27</w:t>
      </w:r>
      <w:r>
        <w:rPr>
          <w:lang w:val="en-GB"/>
        </w:rPr>
        <w:t xml:space="preserve"> </w:t>
      </w:r>
      <w:r w:rsidRPr="0004638F">
        <w:rPr>
          <w:lang w:val="en-GB"/>
        </w:rPr>
        <w:t>patients</w:t>
      </w:r>
      <w:r>
        <w:rPr>
          <w:lang w:val="en-GB"/>
        </w:rPr>
        <w:t xml:space="preserve"> </w:t>
      </w:r>
      <w:r w:rsidRPr="0004638F">
        <w:rPr>
          <w:lang w:val="en-GB"/>
        </w:rPr>
        <w:t>from</w:t>
      </w:r>
      <w:r>
        <w:rPr>
          <w:lang w:val="en-GB"/>
        </w:rPr>
        <w:t xml:space="preserve"> </w:t>
      </w:r>
      <w:r w:rsidRPr="0004638F">
        <w:rPr>
          <w:lang w:val="en-GB"/>
        </w:rPr>
        <w:t>the</w:t>
      </w:r>
      <w:r>
        <w:rPr>
          <w:lang w:val="en-GB"/>
        </w:rPr>
        <w:t xml:space="preserve"> </w:t>
      </w:r>
      <w:r w:rsidRPr="0004638F">
        <w:rPr>
          <w:lang w:val="en-GB"/>
        </w:rPr>
        <w:t>001</w:t>
      </w:r>
      <w:r>
        <w:rPr>
          <w:lang w:val="en-GB"/>
        </w:rPr>
        <w:t xml:space="preserve"> </w:t>
      </w:r>
      <w:r w:rsidRPr="0004638F">
        <w:rPr>
          <w:lang w:val="en-GB"/>
        </w:rPr>
        <w:t>study</w:t>
      </w:r>
      <w:r>
        <w:rPr>
          <w:lang w:val="en-GB"/>
        </w:rPr>
        <w:t xml:space="preserve"> </w:t>
      </w:r>
      <w:r w:rsidRPr="0004638F">
        <w:rPr>
          <w:lang w:val="en-GB"/>
        </w:rPr>
        <w:t>were</w:t>
      </w:r>
      <w:r>
        <w:rPr>
          <w:lang w:val="en-GB"/>
        </w:rPr>
        <w:t xml:space="preserve"> </w:t>
      </w:r>
      <w:r w:rsidRPr="0004638F">
        <w:rPr>
          <w:lang w:val="en-GB"/>
        </w:rPr>
        <w:t>rolled</w:t>
      </w:r>
      <w:r>
        <w:rPr>
          <w:lang w:val="en-GB"/>
        </w:rPr>
        <w:t xml:space="preserve"> </w:t>
      </w:r>
      <w:r w:rsidRPr="0004638F">
        <w:rPr>
          <w:lang w:val="en-GB"/>
        </w:rPr>
        <w:t>over</w:t>
      </w:r>
      <w:r>
        <w:rPr>
          <w:lang w:val="en-GB"/>
        </w:rPr>
        <w:t xml:space="preserve"> </w:t>
      </w:r>
      <w:r w:rsidRPr="0004638F">
        <w:rPr>
          <w:lang w:val="en-GB"/>
        </w:rPr>
        <w:t>into</w:t>
      </w:r>
      <w:r>
        <w:rPr>
          <w:lang w:val="en-GB"/>
        </w:rPr>
        <w:t xml:space="preserve"> </w:t>
      </w:r>
      <w:r w:rsidRPr="0004638F">
        <w:rPr>
          <w:lang w:val="en-GB"/>
        </w:rPr>
        <w:t>the</w:t>
      </w:r>
      <w:r>
        <w:rPr>
          <w:lang w:val="en-GB"/>
        </w:rPr>
        <w:t xml:space="preserve"> </w:t>
      </w:r>
      <w:r w:rsidRPr="0004638F">
        <w:rPr>
          <w:lang w:val="en-GB"/>
        </w:rPr>
        <w:t>ongoing</w:t>
      </w:r>
      <w:r>
        <w:rPr>
          <w:lang w:val="en-GB"/>
        </w:rPr>
        <w:t xml:space="preserve"> 002 study. </w:t>
      </w:r>
      <w:r w:rsidR="00651D2B">
        <w:rPr>
          <w:lang w:val="en-GB"/>
        </w:rPr>
        <w:t>We expect to have r</w:t>
      </w:r>
      <w:r w:rsidRPr="00D651BF">
        <w:rPr>
          <w:lang w:val="en-GB"/>
        </w:rPr>
        <w:t>esults</w:t>
      </w:r>
      <w:r>
        <w:rPr>
          <w:lang w:val="en-GB"/>
        </w:rPr>
        <w:t xml:space="preserve"> </w:t>
      </w:r>
      <w:r w:rsidR="00651D2B">
        <w:rPr>
          <w:lang w:val="en-GB"/>
        </w:rPr>
        <w:t xml:space="preserve">from this study </w:t>
      </w:r>
      <w:r>
        <w:rPr>
          <w:lang w:val="en-GB"/>
        </w:rPr>
        <w:t xml:space="preserve">in the </w:t>
      </w:r>
      <w:r w:rsidRPr="00D651BF">
        <w:rPr>
          <w:lang w:val="en-GB"/>
        </w:rPr>
        <w:t xml:space="preserve">autumn </w:t>
      </w:r>
      <w:r>
        <w:rPr>
          <w:lang w:val="en-GB"/>
        </w:rPr>
        <w:t xml:space="preserve">of </w:t>
      </w:r>
      <w:r w:rsidRPr="00D651BF">
        <w:rPr>
          <w:lang w:val="en-GB"/>
        </w:rPr>
        <w:t>2018</w:t>
      </w:r>
      <w:r>
        <w:rPr>
          <w:lang w:val="en-GB"/>
        </w:rPr>
        <w:t xml:space="preserve">. As each patient has his/her last visit in the blinded part of the study, he/she will </w:t>
      </w:r>
      <w:r w:rsidR="00651D2B">
        <w:rPr>
          <w:lang w:val="en-GB"/>
        </w:rPr>
        <w:t xml:space="preserve">be offered to </w:t>
      </w:r>
      <w:r>
        <w:rPr>
          <w:lang w:val="en-GB"/>
        </w:rPr>
        <w:t>enter into an open-label extension of the study where all patients will receive only the active substance, arimoclomol, as treatment (i.e., no one will receive placebo during the open-label extension of the study).</w:t>
      </w:r>
    </w:p>
    <w:p w14:paraId="7C8374B1" w14:textId="77777777" w:rsidR="003F293A" w:rsidRDefault="003F293A" w:rsidP="0004638F">
      <w:pPr>
        <w:rPr>
          <w:lang w:val="en-GB"/>
        </w:rPr>
      </w:pPr>
    </w:p>
    <w:p w14:paraId="5A20AC9A" w14:textId="77777777" w:rsidR="002937D3" w:rsidRDefault="0004638F" w:rsidP="002937D3">
      <w:pPr>
        <w:rPr>
          <w:lang w:val="en-GB"/>
        </w:rPr>
      </w:pPr>
      <w:r>
        <w:rPr>
          <w:lang w:val="en-GB"/>
        </w:rPr>
        <w:t>The</w:t>
      </w:r>
      <w:r w:rsidR="00062838">
        <w:rPr>
          <w:lang w:val="en-GB"/>
        </w:rPr>
        <w:t xml:space="preserve"> </w:t>
      </w:r>
      <w:r>
        <w:rPr>
          <w:lang w:val="en-GB"/>
        </w:rPr>
        <w:t>f</w:t>
      </w:r>
      <w:r w:rsidRPr="002129DC">
        <w:rPr>
          <w:lang w:val="en-GB"/>
        </w:rPr>
        <w:t>ollowing</w:t>
      </w:r>
      <w:r w:rsidR="00062838">
        <w:rPr>
          <w:lang w:val="en-GB"/>
        </w:rPr>
        <w:t xml:space="preserve"> </w:t>
      </w:r>
      <w:r w:rsidRPr="002129DC">
        <w:rPr>
          <w:lang w:val="en-GB"/>
        </w:rPr>
        <w:t>site</w:t>
      </w:r>
      <w:r>
        <w:rPr>
          <w:lang w:val="en-GB"/>
        </w:rPr>
        <w:t>s</w:t>
      </w:r>
      <w:r w:rsidR="00062838">
        <w:rPr>
          <w:lang w:val="en-GB"/>
        </w:rPr>
        <w:t xml:space="preserve"> </w:t>
      </w:r>
      <w:r>
        <w:rPr>
          <w:lang w:val="en-GB"/>
        </w:rPr>
        <w:t>are</w:t>
      </w:r>
      <w:r w:rsidR="00062838">
        <w:rPr>
          <w:lang w:val="en-GB"/>
        </w:rPr>
        <w:t xml:space="preserve"> </w:t>
      </w:r>
      <w:r>
        <w:rPr>
          <w:lang w:val="en-GB"/>
        </w:rPr>
        <w:t>participating</w:t>
      </w:r>
      <w:r w:rsidR="00062838">
        <w:rPr>
          <w:lang w:val="en-GB"/>
        </w:rPr>
        <w:t xml:space="preserve"> </w:t>
      </w:r>
      <w:r>
        <w:rPr>
          <w:lang w:val="en-GB"/>
        </w:rPr>
        <w:t>in</w:t>
      </w:r>
      <w:r w:rsidR="00062838">
        <w:rPr>
          <w:lang w:val="en-GB"/>
        </w:rPr>
        <w:t xml:space="preserve"> </w:t>
      </w:r>
      <w:r>
        <w:rPr>
          <w:lang w:val="en-GB"/>
        </w:rPr>
        <w:t>the</w:t>
      </w:r>
      <w:r w:rsidR="00062838">
        <w:rPr>
          <w:lang w:val="en-GB"/>
        </w:rPr>
        <w:t xml:space="preserve"> </w:t>
      </w:r>
      <w:r w:rsidR="003F293A">
        <w:rPr>
          <w:lang w:val="en-GB"/>
        </w:rPr>
        <w:t>002</w:t>
      </w:r>
      <w:r w:rsidR="00062838">
        <w:rPr>
          <w:lang w:val="en-GB"/>
        </w:rPr>
        <w:t xml:space="preserve"> </w:t>
      </w:r>
      <w:r>
        <w:rPr>
          <w:lang w:val="en-GB"/>
        </w:rPr>
        <w:t>Study</w:t>
      </w:r>
      <w:r w:rsidRPr="002129DC">
        <w:rPr>
          <w:lang w:val="en-GB"/>
        </w:rPr>
        <w:t>:</w:t>
      </w:r>
    </w:p>
    <w:p w14:paraId="328A64FD" w14:textId="77777777" w:rsidR="003F293A" w:rsidRPr="002129DC" w:rsidRDefault="003F293A" w:rsidP="002937D3">
      <w:pPr>
        <w:rPr>
          <w:lang w:val="en-GB"/>
        </w:rPr>
      </w:pPr>
    </w:p>
    <w:p w14:paraId="02511DF9" w14:textId="77777777" w:rsidR="002937D3" w:rsidRPr="002129DC" w:rsidRDefault="002937D3" w:rsidP="002937D3">
      <w:pPr>
        <w:ind w:left="360"/>
        <w:rPr>
          <w:lang w:val="en-GB"/>
        </w:rPr>
        <w:sectPr w:rsidR="002937D3" w:rsidRPr="002129DC" w:rsidSect="0083325E">
          <w:headerReference w:type="default" r:id="rId9"/>
          <w:footerReference w:type="default" r:id="rId10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CF787AF" w14:textId="77777777" w:rsidR="002937D3" w:rsidRDefault="002937D3" w:rsidP="002937D3">
      <w:pPr>
        <w:ind w:left="360"/>
        <w:rPr>
          <w:lang w:val="en-GB"/>
        </w:rPr>
      </w:pPr>
      <w:r w:rsidRPr="002129DC">
        <w:rPr>
          <w:lang w:val="en-GB"/>
        </w:rPr>
        <w:lastRenderedPageBreak/>
        <w:t>Copenhagen,</w:t>
      </w:r>
      <w:r w:rsidR="00062838">
        <w:rPr>
          <w:lang w:val="en-GB"/>
        </w:rPr>
        <w:t xml:space="preserve"> </w:t>
      </w:r>
      <w:r w:rsidRPr="002129DC">
        <w:rPr>
          <w:lang w:val="en-GB"/>
        </w:rPr>
        <w:t>Denmark</w:t>
      </w:r>
    </w:p>
    <w:p w14:paraId="3F1D478D" w14:textId="77777777" w:rsidR="00C72F0A" w:rsidRDefault="00C72F0A" w:rsidP="002937D3">
      <w:pPr>
        <w:ind w:left="360"/>
        <w:rPr>
          <w:lang w:val="en-GB"/>
        </w:rPr>
      </w:pPr>
      <w:r>
        <w:rPr>
          <w:lang w:val="en-GB"/>
        </w:rPr>
        <w:t>Birmingham,</w:t>
      </w:r>
      <w:r w:rsidR="00062838">
        <w:rPr>
          <w:lang w:val="en-GB"/>
        </w:rPr>
        <w:t xml:space="preserve"> </w:t>
      </w:r>
      <w:r>
        <w:rPr>
          <w:lang w:val="en-GB"/>
        </w:rPr>
        <w:t>UK</w:t>
      </w:r>
    </w:p>
    <w:p w14:paraId="614ECA42" w14:textId="77777777" w:rsidR="00482DFE" w:rsidRDefault="00482DFE" w:rsidP="002937D3">
      <w:pPr>
        <w:ind w:left="360"/>
        <w:rPr>
          <w:lang w:val="en-GB"/>
        </w:rPr>
      </w:pPr>
      <w:r>
        <w:rPr>
          <w:lang w:val="en-GB"/>
        </w:rPr>
        <w:t>Great</w:t>
      </w:r>
      <w:r w:rsidR="00062838">
        <w:rPr>
          <w:lang w:val="en-GB"/>
        </w:rPr>
        <w:t xml:space="preserve"> </w:t>
      </w:r>
      <w:r>
        <w:rPr>
          <w:lang w:val="en-GB"/>
        </w:rPr>
        <w:t>Ormond</w:t>
      </w:r>
      <w:r w:rsidR="00062838">
        <w:rPr>
          <w:lang w:val="en-GB"/>
        </w:rPr>
        <w:t xml:space="preserve"> </w:t>
      </w:r>
      <w:r>
        <w:rPr>
          <w:lang w:val="en-GB"/>
        </w:rPr>
        <w:t>St,</w:t>
      </w:r>
      <w:r w:rsidR="00062838">
        <w:rPr>
          <w:lang w:val="en-GB"/>
        </w:rPr>
        <w:t xml:space="preserve"> </w:t>
      </w:r>
      <w:r>
        <w:rPr>
          <w:lang w:val="en-GB"/>
        </w:rPr>
        <w:t>UK</w:t>
      </w:r>
    </w:p>
    <w:p w14:paraId="26B21E3E" w14:textId="77777777" w:rsidR="00C72F0A" w:rsidRDefault="00C72F0A" w:rsidP="002937D3">
      <w:pPr>
        <w:ind w:left="360"/>
        <w:rPr>
          <w:lang w:val="en-GB"/>
        </w:rPr>
      </w:pPr>
      <w:r>
        <w:rPr>
          <w:lang w:val="en-GB"/>
        </w:rPr>
        <w:t>Mainz,</w:t>
      </w:r>
      <w:r w:rsidR="00062838">
        <w:rPr>
          <w:lang w:val="en-GB"/>
        </w:rPr>
        <w:t xml:space="preserve"> </w:t>
      </w:r>
      <w:r>
        <w:rPr>
          <w:lang w:val="en-GB"/>
        </w:rPr>
        <w:t>Germany</w:t>
      </w:r>
    </w:p>
    <w:p w14:paraId="1A3F0951" w14:textId="77777777" w:rsidR="00C72F0A" w:rsidRDefault="00C72F0A" w:rsidP="002937D3">
      <w:pPr>
        <w:ind w:left="360"/>
        <w:rPr>
          <w:lang w:val="en-GB"/>
        </w:rPr>
      </w:pPr>
      <w:r>
        <w:rPr>
          <w:lang w:val="en-GB"/>
        </w:rPr>
        <w:t>Münich,</w:t>
      </w:r>
      <w:r w:rsidR="00062838">
        <w:rPr>
          <w:lang w:val="en-GB"/>
        </w:rPr>
        <w:t xml:space="preserve"> </w:t>
      </w:r>
      <w:r>
        <w:rPr>
          <w:lang w:val="en-GB"/>
        </w:rPr>
        <w:t>Germany</w:t>
      </w:r>
    </w:p>
    <w:p w14:paraId="7F552544" w14:textId="77777777" w:rsidR="00C72F0A" w:rsidRDefault="00C72F0A" w:rsidP="002937D3">
      <w:pPr>
        <w:ind w:left="360"/>
        <w:rPr>
          <w:lang w:val="en-GB"/>
        </w:rPr>
      </w:pPr>
      <w:r>
        <w:rPr>
          <w:lang w:val="en-GB"/>
        </w:rPr>
        <w:lastRenderedPageBreak/>
        <w:t>Paris,</w:t>
      </w:r>
      <w:r w:rsidR="00062838">
        <w:rPr>
          <w:lang w:val="en-GB"/>
        </w:rPr>
        <w:t xml:space="preserve"> </w:t>
      </w:r>
      <w:r>
        <w:rPr>
          <w:lang w:val="en-GB"/>
        </w:rPr>
        <w:t>France</w:t>
      </w:r>
    </w:p>
    <w:p w14:paraId="00838E6E" w14:textId="77777777" w:rsidR="00C23BC7" w:rsidRDefault="00C23BC7" w:rsidP="002937D3">
      <w:pPr>
        <w:ind w:left="360"/>
        <w:rPr>
          <w:lang w:val="en-GB"/>
        </w:rPr>
      </w:pPr>
      <w:r>
        <w:rPr>
          <w:lang w:val="en-GB"/>
        </w:rPr>
        <w:t>Montpellier,</w:t>
      </w:r>
      <w:r w:rsidR="00062838">
        <w:rPr>
          <w:lang w:val="en-GB"/>
        </w:rPr>
        <w:t xml:space="preserve"> </w:t>
      </w:r>
      <w:r>
        <w:rPr>
          <w:lang w:val="en-GB"/>
        </w:rPr>
        <w:t>France</w:t>
      </w:r>
    </w:p>
    <w:p w14:paraId="51FBB4A7" w14:textId="77777777" w:rsidR="00482DFE" w:rsidRDefault="00482DFE" w:rsidP="002937D3">
      <w:pPr>
        <w:ind w:left="360"/>
        <w:rPr>
          <w:lang w:val="en-GB"/>
        </w:rPr>
      </w:pPr>
      <w:r>
        <w:rPr>
          <w:lang w:val="en-GB"/>
        </w:rPr>
        <w:t>Barcelona,</w:t>
      </w:r>
      <w:r w:rsidR="00062838">
        <w:rPr>
          <w:lang w:val="en-GB"/>
        </w:rPr>
        <w:t xml:space="preserve"> </w:t>
      </w:r>
      <w:r>
        <w:rPr>
          <w:lang w:val="en-GB"/>
        </w:rPr>
        <w:t>Spain</w:t>
      </w:r>
    </w:p>
    <w:p w14:paraId="404E4854" w14:textId="77777777" w:rsidR="00482DFE" w:rsidRDefault="00482DFE" w:rsidP="002937D3">
      <w:pPr>
        <w:ind w:left="360"/>
        <w:rPr>
          <w:lang w:val="en-GB"/>
        </w:rPr>
      </w:pPr>
      <w:r>
        <w:rPr>
          <w:lang w:val="en-GB"/>
        </w:rPr>
        <w:t>Warsaw,</w:t>
      </w:r>
      <w:r w:rsidR="00062838">
        <w:rPr>
          <w:lang w:val="en-GB"/>
        </w:rPr>
        <w:t xml:space="preserve"> </w:t>
      </w:r>
      <w:r>
        <w:rPr>
          <w:lang w:val="en-GB"/>
        </w:rPr>
        <w:t>Poland</w:t>
      </w:r>
    </w:p>
    <w:p w14:paraId="1639A5C5" w14:textId="77777777" w:rsidR="00C23BC7" w:rsidRDefault="00C23BC7" w:rsidP="002937D3">
      <w:pPr>
        <w:ind w:left="360"/>
        <w:rPr>
          <w:lang w:val="en-GB"/>
        </w:rPr>
      </w:pPr>
      <w:r>
        <w:rPr>
          <w:lang w:val="en-GB"/>
        </w:rPr>
        <w:t>Udine,</w:t>
      </w:r>
      <w:r w:rsidR="00062838">
        <w:rPr>
          <w:lang w:val="en-GB"/>
        </w:rPr>
        <w:t xml:space="preserve"> </w:t>
      </w:r>
      <w:r>
        <w:rPr>
          <w:lang w:val="en-GB"/>
        </w:rPr>
        <w:t>Italy</w:t>
      </w:r>
    </w:p>
    <w:p w14:paraId="3C993595" w14:textId="77777777" w:rsidR="00C23BC7" w:rsidRDefault="00C23BC7" w:rsidP="002937D3">
      <w:pPr>
        <w:ind w:left="360"/>
        <w:rPr>
          <w:lang w:val="en-GB"/>
        </w:rPr>
      </w:pPr>
      <w:r>
        <w:rPr>
          <w:lang w:val="en-GB"/>
        </w:rPr>
        <w:lastRenderedPageBreak/>
        <w:t>Rome,</w:t>
      </w:r>
      <w:r w:rsidR="00062838">
        <w:rPr>
          <w:lang w:val="en-GB"/>
        </w:rPr>
        <w:t xml:space="preserve"> </w:t>
      </w:r>
      <w:r>
        <w:rPr>
          <w:lang w:val="en-GB"/>
        </w:rPr>
        <w:t>Italy</w:t>
      </w:r>
    </w:p>
    <w:p w14:paraId="5CA965C0" w14:textId="77777777" w:rsidR="00482DFE" w:rsidRPr="00CD6DD6" w:rsidRDefault="00153348" w:rsidP="002937D3">
      <w:pPr>
        <w:ind w:left="360"/>
        <w:rPr>
          <w:lang w:val="en-GB"/>
        </w:rPr>
      </w:pPr>
      <w:r w:rsidRPr="00CD6DD6">
        <w:rPr>
          <w:lang w:val="en-GB"/>
        </w:rPr>
        <w:t>Rochester,</w:t>
      </w:r>
      <w:r w:rsidR="00062838">
        <w:rPr>
          <w:lang w:val="en-GB"/>
        </w:rPr>
        <w:t xml:space="preserve"> </w:t>
      </w:r>
      <w:r w:rsidRPr="00CD6DD6">
        <w:rPr>
          <w:lang w:val="en-GB"/>
        </w:rPr>
        <w:t>MN-USA</w:t>
      </w:r>
    </w:p>
    <w:p w14:paraId="69B161AC" w14:textId="77777777" w:rsidR="00153348" w:rsidRPr="00CD6DD6" w:rsidRDefault="00153348" w:rsidP="002937D3">
      <w:pPr>
        <w:ind w:left="360"/>
        <w:rPr>
          <w:lang w:val="en-GB"/>
        </w:rPr>
      </w:pPr>
      <w:r w:rsidRPr="00CD6DD6">
        <w:rPr>
          <w:lang w:val="en-GB"/>
        </w:rPr>
        <w:t>Oakland,</w:t>
      </w:r>
      <w:r w:rsidR="00062838">
        <w:rPr>
          <w:lang w:val="en-GB"/>
        </w:rPr>
        <w:t xml:space="preserve"> </w:t>
      </w:r>
      <w:r w:rsidRPr="00CD6DD6">
        <w:rPr>
          <w:lang w:val="en-GB"/>
        </w:rPr>
        <w:t>CA-USA</w:t>
      </w:r>
    </w:p>
    <w:p w14:paraId="54FCE50A" w14:textId="77777777" w:rsidR="002937D3" w:rsidRPr="00CD6DD6" w:rsidRDefault="002937D3" w:rsidP="002937D3">
      <w:pPr>
        <w:ind w:left="360"/>
        <w:rPr>
          <w:lang w:val="en-GB"/>
        </w:rPr>
        <w:sectPr w:rsidR="002937D3" w:rsidRPr="00CD6DD6" w:rsidSect="00DE69A6">
          <w:type w:val="continuous"/>
          <w:pgSz w:w="12240" w:h="15840"/>
          <w:pgMar w:top="1440" w:right="1800" w:bottom="1440" w:left="1800" w:header="720" w:footer="720" w:gutter="0"/>
          <w:cols w:num="3" w:space="288"/>
          <w:docGrid w:linePitch="360"/>
        </w:sectPr>
      </w:pPr>
    </w:p>
    <w:p w14:paraId="04EB9D82" w14:textId="77777777" w:rsidR="002937D3" w:rsidRPr="00CD6DD6" w:rsidRDefault="002937D3" w:rsidP="002937D3">
      <w:pPr>
        <w:rPr>
          <w:lang w:val="en-GB"/>
        </w:rPr>
      </w:pPr>
    </w:p>
    <w:p w14:paraId="5E0634C7" w14:textId="77777777" w:rsidR="00A60ED4" w:rsidRDefault="0004638F" w:rsidP="000F74B5">
      <w:pPr>
        <w:rPr>
          <w:lang w:val="en-GB"/>
        </w:rPr>
      </w:pPr>
      <w:r w:rsidRPr="0004638F">
        <w:rPr>
          <w:noProof/>
          <w:lang w:val="en-GB" w:eastAsia="en-GB"/>
        </w:rPr>
        <w:drawing>
          <wp:inline distT="0" distB="0" distL="0" distR="0" wp14:anchorId="7CDA5342" wp14:editId="5EB90CAD">
            <wp:extent cx="5321300" cy="2044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</w:p>
    <w:p w14:paraId="2F23AB1C" w14:textId="77777777" w:rsidR="00FD5D2D" w:rsidRDefault="00FD5D2D" w:rsidP="000F74B5">
      <w:pPr>
        <w:rPr>
          <w:lang w:val="en-GB"/>
        </w:rPr>
      </w:pPr>
    </w:p>
    <w:p w14:paraId="06680B78" w14:textId="77777777" w:rsidR="00FD5D2D" w:rsidRPr="00FD5D2D" w:rsidRDefault="00FD5D2D" w:rsidP="00FD5D2D">
      <w:pPr>
        <w:rPr>
          <w:rFonts w:ascii="Arial Black" w:hAnsi="Arial Black"/>
          <w:lang w:val="en-GB"/>
        </w:rPr>
      </w:pPr>
      <w:r>
        <w:rPr>
          <w:rFonts w:ascii="Arial Black" w:hAnsi="Arial Black"/>
          <w:lang w:val="en-GB"/>
        </w:rPr>
        <w:t>Under-2-year-olds in study</w:t>
      </w:r>
      <w:r w:rsidRPr="00FD5D2D">
        <w:rPr>
          <w:rFonts w:ascii="Arial Black" w:hAnsi="Arial Black"/>
          <w:lang w:val="en-GB"/>
        </w:rPr>
        <w:t xml:space="preserve"> </w:t>
      </w:r>
    </w:p>
    <w:p w14:paraId="608CBA35" w14:textId="77777777" w:rsidR="00FD5D2D" w:rsidRDefault="00C101B0" w:rsidP="00FD5D2D">
      <w:pPr>
        <w:rPr>
          <w:lang w:val="en-GB"/>
        </w:rPr>
      </w:pPr>
      <w:r>
        <w:rPr>
          <w:lang w:val="en-GB"/>
        </w:rPr>
        <w:t xml:space="preserve">Orphazyme </w:t>
      </w:r>
      <w:r w:rsidR="0009598F">
        <w:rPr>
          <w:lang w:val="en-GB"/>
        </w:rPr>
        <w:t>is planning an arimoclomol open-</w:t>
      </w:r>
      <w:r w:rsidR="00FD5D2D" w:rsidRPr="00FD5D2D">
        <w:rPr>
          <w:lang w:val="en-GB"/>
        </w:rPr>
        <w:t xml:space="preserve">label sub-study in NPC patients </w:t>
      </w:r>
      <w:r w:rsidR="00546AB4">
        <w:rPr>
          <w:lang w:val="en-GB"/>
        </w:rPr>
        <w:t>below</w:t>
      </w:r>
      <w:r w:rsidR="00FD5D2D" w:rsidRPr="00FD5D2D">
        <w:rPr>
          <w:lang w:val="en-GB"/>
        </w:rPr>
        <w:t xml:space="preserve"> 2 years</w:t>
      </w:r>
      <w:r w:rsidR="0009598F">
        <w:rPr>
          <w:lang w:val="en-GB"/>
        </w:rPr>
        <w:t xml:space="preserve"> of age to assess safety,</w:t>
      </w:r>
      <w:r w:rsidR="00FD5D2D" w:rsidRPr="00FD5D2D">
        <w:rPr>
          <w:lang w:val="en-GB"/>
        </w:rPr>
        <w:t xml:space="preserve"> tolerability and pharmacokinetics </w:t>
      </w:r>
      <w:r w:rsidR="0009598F">
        <w:rPr>
          <w:lang w:val="en-GB"/>
        </w:rPr>
        <w:t>as well as to</w:t>
      </w:r>
      <w:r w:rsidR="00FD5D2D" w:rsidRPr="00FD5D2D">
        <w:rPr>
          <w:lang w:val="en-GB"/>
        </w:rPr>
        <w:t xml:space="preserve"> explore effectiveness</w:t>
      </w:r>
      <w:r w:rsidR="00546AB4">
        <w:rPr>
          <w:lang w:val="en-GB"/>
        </w:rPr>
        <w:t xml:space="preserve"> in this age group</w:t>
      </w:r>
      <w:r w:rsidR="0009598F">
        <w:rPr>
          <w:lang w:val="en-GB"/>
        </w:rPr>
        <w:t>.</w:t>
      </w:r>
    </w:p>
    <w:p w14:paraId="11D06543" w14:textId="77777777" w:rsidR="00FD5D2D" w:rsidRPr="00FD5D2D" w:rsidRDefault="00FD5D2D" w:rsidP="00FD5D2D">
      <w:pPr>
        <w:rPr>
          <w:lang w:val="en-GB"/>
        </w:rPr>
      </w:pPr>
    </w:p>
    <w:p w14:paraId="02C9854C" w14:textId="77777777" w:rsidR="00FD5D2D" w:rsidRPr="00FD5D2D" w:rsidRDefault="00FD5D2D" w:rsidP="00FD5D2D">
      <w:pPr>
        <w:rPr>
          <w:rFonts w:ascii="Arial Black" w:hAnsi="Arial Black"/>
          <w:lang w:val="en-GB"/>
        </w:rPr>
      </w:pPr>
      <w:r w:rsidRPr="00FD5D2D">
        <w:rPr>
          <w:rFonts w:ascii="Arial Black" w:hAnsi="Arial Black"/>
          <w:lang w:val="en-GB"/>
        </w:rPr>
        <w:t xml:space="preserve">Key assessment of study outcome </w:t>
      </w:r>
    </w:p>
    <w:p w14:paraId="080B72CE" w14:textId="77777777" w:rsidR="00E05E3C" w:rsidRPr="00E05E3C" w:rsidRDefault="00E05E3C" w:rsidP="00E05E3C">
      <w:pPr>
        <w:rPr>
          <w:lang w:val="en-GB"/>
        </w:rPr>
      </w:pPr>
      <w:r>
        <w:rPr>
          <w:lang w:val="en-GB"/>
        </w:rPr>
        <w:t xml:space="preserve">Orphazyme is re-assessing the NPC Disease Severity (NPC-CSS) scoring tool as it was originally published by </w:t>
      </w:r>
      <w:r w:rsidR="00FD5D2D" w:rsidRPr="00FD5D2D">
        <w:rPr>
          <w:lang w:val="en-GB"/>
        </w:rPr>
        <w:t>Yanjanin</w:t>
      </w:r>
      <w:r>
        <w:rPr>
          <w:lang w:val="en-GB"/>
        </w:rPr>
        <w:t xml:space="preserve"> et. al in 2010, which includes 9 domains of assessment. We are currently concluding efforts (i.e., discussions with regulators; a survey of expert physicians, patient organisations and NPC caregivers; a responder analysis; and a rater-r</w:t>
      </w:r>
      <w:r w:rsidRPr="00E05E3C">
        <w:rPr>
          <w:lang w:val="en-GB"/>
        </w:rPr>
        <w:t>eliability study</w:t>
      </w:r>
      <w:r>
        <w:rPr>
          <w:lang w:val="en-GB"/>
        </w:rPr>
        <w:t xml:space="preserve">) to establish a simplified 5–Domain NPC-CSS scoring tool, </w:t>
      </w:r>
      <w:r w:rsidR="00651D2B">
        <w:rPr>
          <w:lang w:val="en-GB"/>
        </w:rPr>
        <w:t>with the intention</w:t>
      </w:r>
      <w:r>
        <w:rPr>
          <w:lang w:val="en-GB"/>
        </w:rPr>
        <w:t xml:space="preserve"> to improve tracking and scoring of NPC patients in the future.</w:t>
      </w:r>
      <w:r w:rsidRPr="00E05E3C">
        <w:rPr>
          <w:rFonts w:ascii="Times" w:hAnsi="Times" w:cs="Times"/>
          <w:color w:val="000000"/>
          <w:sz w:val="37"/>
          <w:szCs w:val="37"/>
          <w:lang w:val="en-GB"/>
        </w:rPr>
        <w:t xml:space="preserve"> </w:t>
      </w:r>
      <w:r>
        <w:rPr>
          <w:lang w:val="en-GB"/>
        </w:rPr>
        <w:t>The 5 remaining domains in this NPC-CSS scoring tool will be a</w:t>
      </w:r>
      <w:r>
        <w:rPr>
          <w:bCs/>
          <w:lang w:val="en-GB"/>
        </w:rPr>
        <w:t>mbulation, fine motor skills, s</w:t>
      </w:r>
      <w:r w:rsidRPr="00E05E3C">
        <w:rPr>
          <w:bCs/>
          <w:lang w:val="en-GB"/>
        </w:rPr>
        <w:t>wallowing</w:t>
      </w:r>
      <w:r>
        <w:rPr>
          <w:bCs/>
          <w:lang w:val="en-GB"/>
        </w:rPr>
        <w:t>, speech and c</w:t>
      </w:r>
      <w:r w:rsidRPr="00E05E3C">
        <w:rPr>
          <w:bCs/>
          <w:lang w:val="en-GB"/>
        </w:rPr>
        <w:t>ognition</w:t>
      </w:r>
      <w:r>
        <w:rPr>
          <w:bCs/>
          <w:lang w:val="en-GB"/>
        </w:rPr>
        <w:t>.</w:t>
      </w:r>
    </w:p>
    <w:p w14:paraId="3A3FF32C" w14:textId="77777777" w:rsidR="00FD5D2D" w:rsidRPr="00E05E3C" w:rsidRDefault="00FD5D2D" w:rsidP="00FD5D2D">
      <w:pPr>
        <w:rPr>
          <w:lang w:val="en-GB"/>
        </w:rPr>
      </w:pPr>
    </w:p>
    <w:p w14:paraId="4260C182" w14:textId="77777777" w:rsidR="003C6D81" w:rsidRPr="003C6D81" w:rsidRDefault="00BF5F95" w:rsidP="00B52D53">
      <w:pPr>
        <w:rPr>
          <w:rFonts w:ascii="Arial Black" w:hAnsi="Arial Black"/>
          <w:lang w:val="en-GB"/>
        </w:rPr>
      </w:pPr>
      <w:r w:rsidRPr="003F293A">
        <w:rPr>
          <w:rFonts w:ascii="Arial Black" w:hAnsi="Arial Black"/>
          <w:lang w:val="en-GB"/>
        </w:rPr>
        <w:t>Orphazyme</w:t>
      </w:r>
      <w:r w:rsidR="00062838" w:rsidRPr="003F293A">
        <w:rPr>
          <w:rFonts w:ascii="Arial Black" w:hAnsi="Arial Black"/>
          <w:lang w:val="en-GB"/>
        </w:rPr>
        <w:t xml:space="preserve"> </w:t>
      </w:r>
      <w:r w:rsidRPr="003F293A">
        <w:rPr>
          <w:rFonts w:ascii="Arial Black" w:hAnsi="Arial Black"/>
          <w:lang w:val="en-GB"/>
        </w:rPr>
        <w:t>to</w:t>
      </w:r>
      <w:r w:rsidR="00062838" w:rsidRPr="003F293A">
        <w:rPr>
          <w:rFonts w:ascii="Arial Black" w:hAnsi="Arial Black"/>
          <w:lang w:val="en-GB"/>
        </w:rPr>
        <w:t xml:space="preserve"> </w:t>
      </w:r>
      <w:r w:rsidRPr="003F293A">
        <w:rPr>
          <w:rFonts w:ascii="Arial Black" w:hAnsi="Arial Black"/>
          <w:lang w:val="en-GB"/>
        </w:rPr>
        <w:t>present</w:t>
      </w:r>
      <w:r w:rsidR="00062838" w:rsidRPr="003F293A">
        <w:rPr>
          <w:rFonts w:ascii="Arial Black" w:hAnsi="Arial Black"/>
          <w:lang w:val="en-GB"/>
        </w:rPr>
        <w:t xml:space="preserve"> </w:t>
      </w:r>
      <w:r w:rsidRPr="003F293A">
        <w:rPr>
          <w:rFonts w:ascii="Arial Black" w:hAnsi="Arial Black"/>
          <w:lang w:val="en-GB"/>
        </w:rPr>
        <w:t>at</w:t>
      </w:r>
      <w:r w:rsidR="00062838" w:rsidRPr="003F293A">
        <w:rPr>
          <w:rFonts w:ascii="Arial Black" w:hAnsi="Arial Black"/>
          <w:lang w:val="en-GB"/>
        </w:rPr>
        <w:t xml:space="preserve"> </w:t>
      </w:r>
      <w:r w:rsidR="003F293A">
        <w:rPr>
          <w:rFonts w:ascii="Arial Black" w:hAnsi="Arial Black"/>
          <w:lang w:val="en-GB"/>
        </w:rPr>
        <w:t xml:space="preserve">the </w:t>
      </w:r>
      <w:r w:rsidR="003F293A" w:rsidRPr="003F293A">
        <w:rPr>
          <w:rFonts w:ascii="Arial Black" w:hAnsi="Arial Black"/>
          <w:lang w:val="en-GB"/>
        </w:rPr>
        <w:t>INPDA</w:t>
      </w:r>
      <w:r w:rsidR="00062838" w:rsidRPr="003F293A">
        <w:rPr>
          <w:rFonts w:ascii="Arial Black" w:hAnsi="Arial Black"/>
          <w:lang w:val="en-GB"/>
        </w:rPr>
        <w:t xml:space="preserve"> </w:t>
      </w:r>
      <w:r w:rsidR="003F293A" w:rsidRPr="003F293A">
        <w:rPr>
          <w:rFonts w:ascii="Arial Black" w:hAnsi="Arial Black"/>
          <w:lang w:val="en-GB"/>
        </w:rPr>
        <w:t>meeting</w:t>
      </w:r>
      <w:r w:rsidR="00062838" w:rsidRPr="003F293A">
        <w:rPr>
          <w:rFonts w:ascii="Arial Black" w:hAnsi="Arial Black"/>
          <w:lang w:val="en-GB"/>
        </w:rPr>
        <w:t xml:space="preserve"> </w:t>
      </w:r>
      <w:r w:rsidR="003F293A" w:rsidRPr="003F293A">
        <w:rPr>
          <w:rFonts w:ascii="Arial Black" w:hAnsi="Arial Black"/>
          <w:lang w:val="en-GB"/>
        </w:rPr>
        <w:t>in October</w:t>
      </w:r>
    </w:p>
    <w:p w14:paraId="14EC5D50" w14:textId="77777777" w:rsidR="00FD5D2D" w:rsidRDefault="00765965" w:rsidP="00B52D53">
      <w:pPr>
        <w:rPr>
          <w:lang w:val="en-GB"/>
        </w:rPr>
      </w:pPr>
      <w:r>
        <w:rPr>
          <w:lang w:val="en-GB"/>
        </w:rPr>
        <w:t>Orphazyme will present and be present at the 5</w:t>
      </w:r>
      <w:r w:rsidRPr="00765965">
        <w:rPr>
          <w:vertAlign w:val="superscript"/>
          <w:lang w:val="en-GB"/>
        </w:rPr>
        <w:t>th</w:t>
      </w:r>
      <w:r w:rsidR="003F293A">
        <w:rPr>
          <w:lang w:val="en-GB"/>
        </w:rPr>
        <w:t xml:space="preserve"> Biennial INPDA Face-to-Face </w:t>
      </w:r>
      <w:r w:rsidRPr="00765965">
        <w:rPr>
          <w:lang w:val="en-GB"/>
        </w:rPr>
        <w:t>Meeting</w:t>
      </w:r>
      <w:r w:rsidR="003F293A">
        <w:rPr>
          <w:lang w:val="en-GB"/>
        </w:rPr>
        <w:t xml:space="preserve"> in Toronto, Canada</w:t>
      </w:r>
      <w:r w:rsidRPr="00765965">
        <w:rPr>
          <w:lang w:val="en-GB"/>
        </w:rPr>
        <w:t xml:space="preserve"> </w:t>
      </w:r>
      <w:r w:rsidR="003F293A">
        <w:rPr>
          <w:lang w:val="en-GB"/>
        </w:rPr>
        <w:t>(13</w:t>
      </w:r>
      <w:r w:rsidR="003F293A" w:rsidRPr="003F293A">
        <w:rPr>
          <w:vertAlign w:val="superscript"/>
          <w:lang w:val="en-GB"/>
        </w:rPr>
        <w:t>th</w:t>
      </w:r>
      <w:r w:rsidR="003F293A">
        <w:rPr>
          <w:lang w:val="en-GB"/>
        </w:rPr>
        <w:t>–15</w:t>
      </w:r>
      <w:r w:rsidR="003F293A" w:rsidRPr="003F293A">
        <w:rPr>
          <w:vertAlign w:val="superscript"/>
          <w:lang w:val="en-GB"/>
        </w:rPr>
        <w:t>th</w:t>
      </w:r>
      <w:r w:rsidRPr="00765965">
        <w:rPr>
          <w:lang w:val="en-GB"/>
        </w:rPr>
        <w:t xml:space="preserve"> October 2017</w:t>
      </w:r>
      <w:r w:rsidR="003F293A">
        <w:rPr>
          <w:lang w:val="en-GB"/>
        </w:rPr>
        <w:t>).</w:t>
      </w:r>
    </w:p>
    <w:p w14:paraId="4AC48BAC" w14:textId="77777777" w:rsidR="00BF5F95" w:rsidRPr="002129DC" w:rsidRDefault="00BF5F95" w:rsidP="00B52D53">
      <w:pPr>
        <w:rPr>
          <w:lang w:val="en-GB"/>
        </w:rPr>
      </w:pPr>
    </w:p>
    <w:p w14:paraId="712F1581" w14:textId="77777777" w:rsidR="00BF5F95" w:rsidRPr="003C6D81" w:rsidRDefault="00BF5F95" w:rsidP="00BF5F95">
      <w:pPr>
        <w:rPr>
          <w:rFonts w:ascii="Arial Black" w:hAnsi="Arial Black"/>
          <w:lang w:val="en-GB"/>
        </w:rPr>
      </w:pPr>
      <w:r w:rsidRPr="003C6D81">
        <w:rPr>
          <w:rFonts w:ascii="Arial Black" w:hAnsi="Arial Black"/>
          <w:lang w:val="en-GB"/>
        </w:rPr>
        <w:t>Clinical</w:t>
      </w:r>
      <w:r w:rsidR="00062838">
        <w:rPr>
          <w:rFonts w:ascii="Arial Black" w:hAnsi="Arial Black"/>
          <w:lang w:val="en-GB"/>
        </w:rPr>
        <w:t xml:space="preserve"> </w:t>
      </w:r>
      <w:r w:rsidRPr="003C6D81">
        <w:rPr>
          <w:rFonts w:ascii="Arial Black" w:hAnsi="Arial Black"/>
          <w:lang w:val="en-GB"/>
        </w:rPr>
        <w:t>design</w:t>
      </w:r>
      <w:r w:rsidR="00062838">
        <w:rPr>
          <w:rFonts w:ascii="Arial Black" w:hAnsi="Arial Black"/>
          <w:lang w:val="en-GB"/>
        </w:rPr>
        <w:t xml:space="preserve"> </w:t>
      </w:r>
      <w:r w:rsidRPr="003C6D81">
        <w:rPr>
          <w:rFonts w:ascii="Arial Black" w:hAnsi="Arial Black"/>
          <w:lang w:val="en-GB"/>
        </w:rPr>
        <w:t>overview</w:t>
      </w:r>
    </w:p>
    <w:p w14:paraId="3658F5C4" w14:textId="77777777" w:rsidR="00BF5F95" w:rsidRPr="002129DC" w:rsidRDefault="00BF5F95" w:rsidP="00BF5F95">
      <w:pPr>
        <w:rPr>
          <w:lang w:val="en-GB"/>
        </w:rPr>
      </w:pPr>
      <w:r>
        <w:rPr>
          <w:lang w:val="en-GB"/>
        </w:rPr>
        <w:t>The</w:t>
      </w:r>
      <w:r w:rsidR="00062838">
        <w:rPr>
          <w:lang w:val="en-GB"/>
        </w:rPr>
        <w:t xml:space="preserve"> </w:t>
      </w:r>
      <w:r>
        <w:rPr>
          <w:lang w:val="en-GB"/>
        </w:rPr>
        <w:t>graphic</w:t>
      </w:r>
      <w:r w:rsidR="00062838">
        <w:rPr>
          <w:lang w:val="en-GB"/>
        </w:rPr>
        <w:t xml:space="preserve"> </w:t>
      </w:r>
      <w:r>
        <w:rPr>
          <w:lang w:val="en-GB"/>
        </w:rPr>
        <w:t>below</w:t>
      </w:r>
      <w:r w:rsidR="00062838">
        <w:rPr>
          <w:lang w:val="en-GB"/>
        </w:rPr>
        <w:t xml:space="preserve"> </w:t>
      </w:r>
      <w:r>
        <w:rPr>
          <w:lang w:val="en-GB"/>
        </w:rPr>
        <w:t>illustrates</w:t>
      </w:r>
      <w:r w:rsidR="00062838">
        <w:rPr>
          <w:lang w:val="en-GB"/>
        </w:rPr>
        <w:t xml:space="preserve"> </w:t>
      </w:r>
      <w:r>
        <w:rPr>
          <w:lang w:val="en-GB"/>
        </w:rPr>
        <w:t>the</w:t>
      </w:r>
      <w:r w:rsidR="00062838">
        <w:rPr>
          <w:lang w:val="en-GB"/>
        </w:rPr>
        <w:t xml:space="preserve"> </w:t>
      </w:r>
      <w:r>
        <w:rPr>
          <w:lang w:val="en-GB"/>
        </w:rPr>
        <w:t>design</w:t>
      </w:r>
      <w:r w:rsidR="00062838">
        <w:rPr>
          <w:lang w:val="en-GB"/>
        </w:rPr>
        <w:t xml:space="preserve"> </w:t>
      </w:r>
      <w:r>
        <w:rPr>
          <w:lang w:val="en-GB"/>
        </w:rPr>
        <w:t>of</w:t>
      </w:r>
      <w:r w:rsidR="00062838">
        <w:rPr>
          <w:lang w:val="en-GB"/>
        </w:rPr>
        <w:t xml:space="preserve"> </w:t>
      </w:r>
      <w:r>
        <w:rPr>
          <w:lang w:val="en-GB"/>
        </w:rPr>
        <w:t>the</w:t>
      </w:r>
      <w:r w:rsidR="00062838">
        <w:rPr>
          <w:lang w:val="en-GB"/>
        </w:rPr>
        <w:t xml:space="preserve"> </w:t>
      </w:r>
      <w:r w:rsidR="003F293A">
        <w:rPr>
          <w:lang w:val="en-GB"/>
        </w:rPr>
        <w:t>002</w:t>
      </w:r>
      <w:r w:rsidR="00062838">
        <w:rPr>
          <w:lang w:val="en-GB"/>
        </w:rPr>
        <w:t xml:space="preserve"> </w:t>
      </w:r>
      <w:r>
        <w:rPr>
          <w:lang w:val="en-GB"/>
        </w:rPr>
        <w:t>Study,</w:t>
      </w:r>
      <w:r w:rsidR="00062838">
        <w:rPr>
          <w:lang w:val="en-GB"/>
        </w:rPr>
        <w:t xml:space="preserve"> </w:t>
      </w:r>
      <w:r>
        <w:rPr>
          <w:lang w:val="en-GB"/>
        </w:rPr>
        <w:t>including</w:t>
      </w:r>
      <w:r w:rsidR="00062838">
        <w:rPr>
          <w:lang w:val="en-GB"/>
        </w:rPr>
        <w:t xml:space="preserve"> </w:t>
      </w:r>
      <w:r>
        <w:rPr>
          <w:lang w:val="en-GB"/>
        </w:rPr>
        <w:t>number</w:t>
      </w:r>
      <w:r w:rsidR="00062838">
        <w:rPr>
          <w:lang w:val="en-GB"/>
        </w:rPr>
        <w:t xml:space="preserve"> </w:t>
      </w:r>
      <w:r>
        <w:rPr>
          <w:lang w:val="en-GB"/>
        </w:rPr>
        <w:t>and</w:t>
      </w:r>
      <w:r w:rsidR="00062838">
        <w:rPr>
          <w:lang w:val="en-GB"/>
        </w:rPr>
        <w:t xml:space="preserve"> </w:t>
      </w:r>
      <w:r>
        <w:rPr>
          <w:lang w:val="en-GB"/>
        </w:rPr>
        <w:t>timing</w:t>
      </w:r>
      <w:r w:rsidR="00062838">
        <w:rPr>
          <w:lang w:val="en-GB"/>
        </w:rPr>
        <w:t xml:space="preserve"> </w:t>
      </w:r>
      <w:r>
        <w:rPr>
          <w:lang w:val="en-GB"/>
        </w:rPr>
        <w:t>of</w:t>
      </w:r>
      <w:r w:rsidR="00062838">
        <w:rPr>
          <w:lang w:val="en-GB"/>
        </w:rPr>
        <w:t xml:space="preserve"> </w:t>
      </w:r>
      <w:r>
        <w:rPr>
          <w:lang w:val="en-GB"/>
        </w:rPr>
        <w:t>patients</w:t>
      </w:r>
      <w:r w:rsidR="00062838">
        <w:rPr>
          <w:lang w:val="en-GB"/>
        </w:rPr>
        <w:t xml:space="preserve"> </w:t>
      </w:r>
      <w:r>
        <w:rPr>
          <w:lang w:val="en-GB"/>
        </w:rPr>
        <w:t>visits</w:t>
      </w:r>
      <w:r w:rsidR="00062838">
        <w:rPr>
          <w:lang w:val="en-GB"/>
        </w:rPr>
        <w:t xml:space="preserve"> </w:t>
      </w:r>
      <w:r>
        <w:rPr>
          <w:lang w:val="en-GB"/>
        </w:rPr>
        <w:t>to</w:t>
      </w:r>
      <w:r w:rsidR="00062838">
        <w:rPr>
          <w:lang w:val="en-GB"/>
        </w:rPr>
        <w:t xml:space="preserve"> </w:t>
      </w:r>
      <w:r>
        <w:rPr>
          <w:lang w:val="en-GB"/>
        </w:rPr>
        <w:t>the</w:t>
      </w:r>
      <w:r w:rsidR="00062838">
        <w:rPr>
          <w:lang w:val="en-GB"/>
        </w:rPr>
        <w:t xml:space="preserve"> </w:t>
      </w:r>
      <w:r>
        <w:rPr>
          <w:lang w:val="en-GB"/>
        </w:rPr>
        <w:t>sites.</w:t>
      </w:r>
      <w:r w:rsidR="00062838">
        <w:rPr>
          <w:lang w:val="en-GB"/>
        </w:rPr>
        <w:t xml:space="preserve"> </w:t>
      </w:r>
      <w:r>
        <w:rPr>
          <w:lang w:val="en-GB"/>
        </w:rPr>
        <w:t>An</w:t>
      </w:r>
      <w:r w:rsidR="00062838">
        <w:rPr>
          <w:lang w:val="en-GB"/>
        </w:rPr>
        <w:t xml:space="preserve"> </w:t>
      </w:r>
      <w:r>
        <w:rPr>
          <w:lang w:val="en-GB"/>
        </w:rPr>
        <w:t>escape</w:t>
      </w:r>
      <w:r w:rsidR="00062838">
        <w:rPr>
          <w:lang w:val="en-GB"/>
        </w:rPr>
        <w:t xml:space="preserve"> </w:t>
      </w:r>
      <w:r>
        <w:rPr>
          <w:lang w:val="en-GB"/>
        </w:rPr>
        <w:t>route</w:t>
      </w:r>
      <w:r w:rsidR="00062838">
        <w:rPr>
          <w:lang w:val="en-GB"/>
        </w:rPr>
        <w:t xml:space="preserve"> </w:t>
      </w:r>
      <w:r>
        <w:rPr>
          <w:lang w:val="en-GB"/>
        </w:rPr>
        <w:t>is</w:t>
      </w:r>
      <w:r w:rsidR="00062838">
        <w:rPr>
          <w:lang w:val="en-GB"/>
        </w:rPr>
        <w:t xml:space="preserve"> </w:t>
      </w:r>
      <w:r>
        <w:rPr>
          <w:lang w:val="en-GB"/>
        </w:rPr>
        <w:t>provided</w:t>
      </w:r>
      <w:r w:rsidR="00062838">
        <w:rPr>
          <w:lang w:val="en-GB"/>
        </w:rPr>
        <w:t xml:space="preserve"> </w:t>
      </w:r>
      <w:r>
        <w:rPr>
          <w:lang w:val="en-GB"/>
        </w:rPr>
        <w:t>for</w:t>
      </w:r>
      <w:r w:rsidR="00062838">
        <w:rPr>
          <w:lang w:val="en-GB"/>
        </w:rPr>
        <w:t xml:space="preserve"> </w:t>
      </w:r>
      <w:r>
        <w:rPr>
          <w:lang w:val="en-GB"/>
        </w:rPr>
        <w:t>patients</w:t>
      </w:r>
      <w:r w:rsidR="00062838">
        <w:rPr>
          <w:lang w:val="en-GB"/>
        </w:rPr>
        <w:t xml:space="preserve"> </w:t>
      </w:r>
      <w:r>
        <w:rPr>
          <w:lang w:val="en-GB"/>
        </w:rPr>
        <w:t>that</w:t>
      </w:r>
      <w:r w:rsidR="00062838">
        <w:rPr>
          <w:lang w:val="en-GB"/>
        </w:rPr>
        <w:t xml:space="preserve"> </w:t>
      </w:r>
      <w:r>
        <w:rPr>
          <w:lang w:val="en-GB"/>
        </w:rPr>
        <w:t>experience</w:t>
      </w:r>
      <w:r w:rsidR="00062838">
        <w:rPr>
          <w:lang w:val="en-GB"/>
        </w:rPr>
        <w:t xml:space="preserve"> </w:t>
      </w:r>
      <w:r>
        <w:rPr>
          <w:lang w:val="en-GB"/>
        </w:rPr>
        <w:t>an</w:t>
      </w:r>
      <w:r w:rsidR="00062838">
        <w:rPr>
          <w:lang w:val="en-GB"/>
        </w:rPr>
        <w:t xml:space="preserve"> </w:t>
      </w:r>
      <w:r>
        <w:rPr>
          <w:lang w:val="en-GB"/>
        </w:rPr>
        <w:t>unacceptable</w:t>
      </w:r>
      <w:r w:rsidR="00062838">
        <w:rPr>
          <w:lang w:val="en-GB"/>
        </w:rPr>
        <w:t xml:space="preserve"> </w:t>
      </w:r>
      <w:r>
        <w:rPr>
          <w:lang w:val="en-GB"/>
        </w:rPr>
        <w:t>rate</w:t>
      </w:r>
      <w:r w:rsidR="00062838">
        <w:rPr>
          <w:lang w:val="en-GB"/>
        </w:rPr>
        <w:t xml:space="preserve"> </w:t>
      </w:r>
      <w:r>
        <w:rPr>
          <w:lang w:val="en-GB"/>
        </w:rPr>
        <w:t>of</w:t>
      </w:r>
      <w:r w:rsidR="00062838">
        <w:rPr>
          <w:lang w:val="en-GB"/>
        </w:rPr>
        <w:t xml:space="preserve"> </w:t>
      </w:r>
      <w:r>
        <w:rPr>
          <w:lang w:val="en-GB"/>
        </w:rPr>
        <w:t>progression</w:t>
      </w:r>
      <w:r w:rsidR="00062838">
        <w:rPr>
          <w:lang w:val="en-GB"/>
        </w:rPr>
        <w:t xml:space="preserve"> </w:t>
      </w:r>
      <w:r>
        <w:rPr>
          <w:lang w:val="en-GB"/>
        </w:rPr>
        <w:t>of</w:t>
      </w:r>
      <w:r w:rsidR="00062838">
        <w:rPr>
          <w:lang w:val="en-GB"/>
        </w:rPr>
        <w:t xml:space="preserve"> </w:t>
      </w:r>
      <w:r>
        <w:rPr>
          <w:lang w:val="en-GB"/>
        </w:rPr>
        <w:t>the</w:t>
      </w:r>
      <w:r w:rsidR="00062838">
        <w:rPr>
          <w:lang w:val="en-GB"/>
        </w:rPr>
        <w:t xml:space="preserve"> </w:t>
      </w:r>
      <w:r>
        <w:rPr>
          <w:lang w:val="en-GB"/>
        </w:rPr>
        <w:t>disease.</w:t>
      </w:r>
    </w:p>
    <w:p w14:paraId="0DD93C71" w14:textId="77777777" w:rsidR="00625ED5" w:rsidRDefault="00625ED5" w:rsidP="00B52D53">
      <w:pPr>
        <w:rPr>
          <w:lang w:val="en-GB"/>
        </w:rPr>
      </w:pPr>
    </w:p>
    <w:p w14:paraId="61F08587" w14:textId="77777777" w:rsidR="00607459" w:rsidRPr="002129DC" w:rsidRDefault="003D3F43" w:rsidP="00186E9E">
      <w:pPr>
        <w:rPr>
          <w:lang w:val="en-GB"/>
        </w:rPr>
      </w:pPr>
      <w:r w:rsidRPr="003D3F43">
        <w:rPr>
          <w:noProof/>
          <w:lang w:val="en-GB" w:eastAsia="en-GB"/>
        </w:rPr>
        <w:drawing>
          <wp:inline distT="0" distB="0" distL="0" distR="0" wp14:anchorId="5398B773" wp14:editId="24C2878D">
            <wp:extent cx="5486400" cy="3113405"/>
            <wp:effectExtent l="0" t="0" r="0" b="10795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F7B03" w14:textId="77777777" w:rsidR="00966035" w:rsidRPr="002129DC" w:rsidRDefault="00966035" w:rsidP="00186E9E">
      <w:pPr>
        <w:rPr>
          <w:lang w:val="en-GB"/>
        </w:rPr>
      </w:pPr>
    </w:p>
    <w:p w14:paraId="155EFC4E" w14:textId="77777777" w:rsidR="00966035" w:rsidRPr="002129DC" w:rsidRDefault="00966035" w:rsidP="00186E9E">
      <w:pPr>
        <w:rPr>
          <w:lang w:val="en-GB"/>
        </w:rPr>
      </w:pPr>
    </w:p>
    <w:p w14:paraId="78020A7C" w14:textId="77777777" w:rsidR="00F500DB" w:rsidRPr="002129DC" w:rsidRDefault="00F500DB" w:rsidP="00F500DB">
      <w:pPr>
        <w:rPr>
          <w:lang w:val="en-GB"/>
        </w:rPr>
      </w:pPr>
    </w:p>
    <w:p w14:paraId="01592233" w14:textId="77777777" w:rsidR="00F500DB" w:rsidRPr="002129DC" w:rsidRDefault="00F500DB" w:rsidP="00F500DB">
      <w:pPr>
        <w:rPr>
          <w:b/>
          <w:i/>
          <w:lang w:val="en-GB"/>
        </w:rPr>
      </w:pPr>
      <w:r w:rsidRPr="002129DC">
        <w:rPr>
          <w:b/>
          <w:i/>
          <w:lang w:val="en-GB"/>
        </w:rPr>
        <w:t>We</w:t>
      </w:r>
      <w:r w:rsidR="00062838">
        <w:rPr>
          <w:b/>
          <w:i/>
          <w:lang w:val="en-GB"/>
        </w:rPr>
        <w:t xml:space="preserve"> </w:t>
      </w:r>
      <w:r w:rsidRPr="002129DC">
        <w:rPr>
          <w:b/>
          <w:i/>
          <w:lang w:val="en-GB"/>
        </w:rPr>
        <w:t>encourage</w:t>
      </w:r>
      <w:r w:rsidR="00062838">
        <w:rPr>
          <w:b/>
          <w:i/>
          <w:lang w:val="en-GB"/>
        </w:rPr>
        <w:t xml:space="preserve"> </w:t>
      </w:r>
      <w:r w:rsidRPr="002129DC">
        <w:rPr>
          <w:b/>
          <w:i/>
          <w:lang w:val="en-GB"/>
        </w:rPr>
        <w:t>the</w:t>
      </w:r>
      <w:r w:rsidR="00062838">
        <w:rPr>
          <w:b/>
          <w:i/>
          <w:lang w:val="en-GB"/>
        </w:rPr>
        <w:t xml:space="preserve"> </w:t>
      </w:r>
      <w:r w:rsidRPr="002129DC">
        <w:rPr>
          <w:b/>
          <w:i/>
          <w:lang w:val="en-GB"/>
        </w:rPr>
        <w:t>sharing</w:t>
      </w:r>
      <w:r w:rsidR="00062838">
        <w:rPr>
          <w:b/>
          <w:i/>
          <w:lang w:val="en-GB"/>
        </w:rPr>
        <w:t xml:space="preserve"> </w:t>
      </w:r>
      <w:r w:rsidRPr="002129DC">
        <w:rPr>
          <w:b/>
          <w:i/>
          <w:lang w:val="en-GB"/>
        </w:rPr>
        <w:t>of</w:t>
      </w:r>
      <w:r w:rsidR="00062838">
        <w:rPr>
          <w:b/>
          <w:i/>
          <w:lang w:val="en-GB"/>
        </w:rPr>
        <w:t xml:space="preserve"> </w:t>
      </w:r>
      <w:r w:rsidRPr="002129DC">
        <w:rPr>
          <w:b/>
          <w:i/>
          <w:lang w:val="en-GB"/>
        </w:rPr>
        <w:t>above</w:t>
      </w:r>
      <w:r w:rsidR="00062838">
        <w:rPr>
          <w:b/>
          <w:i/>
          <w:lang w:val="en-GB"/>
        </w:rPr>
        <w:t xml:space="preserve"> </w:t>
      </w:r>
      <w:r w:rsidRPr="002129DC">
        <w:rPr>
          <w:b/>
          <w:i/>
          <w:lang w:val="en-GB"/>
        </w:rPr>
        <w:t>information</w:t>
      </w:r>
      <w:r w:rsidR="00062838">
        <w:rPr>
          <w:b/>
          <w:i/>
          <w:lang w:val="en-GB"/>
        </w:rPr>
        <w:t xml:space="preserve"> </w:t>
      </w:r>
      <w:r w:rsidRPr="002129DC">
        <w:rPr>
          <w:b/>
          <w:i/>
          <w:lang w:val="en-GB"/>
        </w:rPr>
        <w:t>with</w:t>
      </w:r>
      <w:r w:rsidR="00062838">
        <w:rPr>
          <w:b/>
          <w:i/>
          <w:lang w:val="en-GB"/>
        </w:rPr>
        <w:t xml:space="preserve"> </w:t>
      </w:r>
      <w:r w:rsidRPr="002129DC">
        <w:rPr>
          <w:b/>
          <w:i/>
          <w:lang w:val="en-GB"/>
        </w:rPr>
        <w:t>the</w:t>
      </w:r>
      <w:r w:rsidR="00062838">
        <w:rPr>
          <w:b/>
          <w:i/>
          <w:lang w:val="en-GB"/>
        </w:rPr>
        <w:t xml:space="preserve"> </w:t>
      </w:r>
      <w:r w:rsidRPr="002129DC">
        <w:rPr>
          <w:b/>
          <w:i/>
          <w:lang w:val="en-GB"/>
        </w:rPr>
        <w:t>patient</w:t>
      </w:r>
      <w:r w:rsidR="00062838">
        <w:rPr>
          <w:b/>
          <w:i/>
          <w:lang w:val="en-GB"/>
        </w:rPr>
        <w:t xml:space="preserve"> </w:t>
      </w:r>
      <w:r w:rsidRPr="002129DC">
        <w:rPr>
          <w:b/>
          <w:i/>
          <w:lang w:val="en-GB"/>
        </w:rPr>
        <w:t>community.</w:t>
      </w:r>
    </w:p>
    <w:p w14:paraId="5381A869" w14:textId="77777777" w:rsidR="00852FC2" w:rsidRPr="002129DC" w:rsidRDefault="00852FC2" w:rsidP="00D11F69">
      <w:pPr>
        <w:rPr>
          <w:lang w:val="en-GB"/>
        </w:rPr>
      </w:pPr>
    </w:p>
    <w:p w14:paraId="3026B297" w14:textId="77777777" w:rsidR="00852FC2" w:rsidRPr="002129DC" w:rsidRDefault="00852FC2" w:rsidP="00D11F69">
      <w:pPr>
        <w:rPr>
          <w:lang w:val="en-GB"/>
        </w:rPr>
      </w:pPr>
    </w:p>
    <w:p w14:paraId="579E261E" w14:textId="77777777" w:rsidR="00D51BD7" w:rsidRPr="002129DC" w:rsidRDefault="00D51BD7" w:rsidP="00D11F69">
      <w:pPr>
        <w:rPr>
          <w:rFonts w:ascii="Arial Black" w:hAnsi="Arial Black"/>
          <w:lang w:val="en-GB"/>
        </w:rPr>
      </w:pPr>
      <w:r w:rsidRPr="002129DC">
        <w:rPr>
          <w:rFonts w:ascii="Arial Black" w:hAnsi="Arial Black"/>
          <w:lang w:val="en-GB"/>
        </w:rPr>
        <w:t>Next</w:t>
      </w:r>
      <w:r w:rsidR="00062838">
        <w:rPr>
          <w:rFonts w:ascii="Arial Black" w:hAnsi="Arial Black"/>
          <w:lang w:val="en-GB"/>
        </w:rPr>
        <w:t xml:space="preserve"> </w:t>
      </w:r>
      <w:r w:rsidRPr="002129DC">
        <w:rPr>
          <w:rFonts w:ascii="Arial Black" w:hAnsi="Arial Black"/>
          <w:lang w:val="en-GB"/>
        </w:rPr>
        <w:t>call:</w:t>
      </w:r>
    </w:p>
    <w:p w14:paraId="69292FE0" w14:textId="77777777" w:rsidR="00D11F69" w:rsidRPr="002129DC" w:rsidRDefault="004E1852" w:rsidP="00D11F69">
      <w:pPr>
        <w:rPr>
          <w:lang w:val="en-GB"/>
        </w:rPr>
      </w:pPr>
      <w:r>
        <w:rPr>
          <w:lang w:val="en-GB"/>
        </w:rPr>
        <w:t>The</w:t>
      </w:r>
      <w:r w:rsidR="00062838">
        <w:rPr>
          <w:lang w:val="en-GB"/>
        </w:rPr>
        <w:t xml:space="preserve"> </w:t>
      </w:r>
      <w:r>
        <w:rPr>
          <w:lang w:val="en-GB"/>
        </w:rPr>
        <w:t>next</w:t>
      </w:r>
      <w:r w:rsidR="00062838">
        <w:rPr>
          <w:lang w:val="en-GB"/>
        </w:rPr>
        <w:t xml:space="preserve"> </w:t>
      </w:r>
      <w:r>
        <w:rPr>
          <w:lang w:val="en-GB"/>
        </w:rPr>
        <w:t>AIDNPC</w:t>
      </w:r>
      <w:r w:rsidR="00062838">
        <w:rPr>
          <w:lang w:val="en-GB"/>
        </w:rPr>
        <w:t xml:space="preserve"> </w:t>
      </w:r>
      <w:r w:rsidR="00E47BBC" w:rsidRPr="002129DC">
        <w:rPr>
          <w:lang w:val="en-GB"/>
        </w:rPr>
        <w:t>call</w:t>
      </w:r>
      <w:r w:rsidR="00062838">
        <w:rPr>
          <w:lang w:val="en-GB"/>
        </w:rPr>
        <w:t xml:space="preserve"> </w:t>
      </w:r>
      <w:r w:rsidR="00E47BBC" w:rsidRPr="002129DC">
        <w:rPr>
          <w:lang w:val="en-GB"/>
        </w:rPr>
        <w:t>is</w:t>
      </w:r>
      <w:r w:rsidR="00062838">
        <w:rPr>
          <w:lang w:val="en-GB"/>
        </w:rPr>
        <w:t xml:space="preserve"> </w:t>
      </w:r>
      <w:r w:rsidR="00E47BBC" w:rsidRPr="002129DC">
        <w:rPr>
          <w:lang w:val="en-GB"/>
        </w:rPr>
        <w:t>schedule</w:t>
      </w:r>
      <w:r w:rsidR="00062838">
        <w:rPr>
          <w:lang w:val="en-GB"/>
        </w:rPr>
        <w:t xml:space="preserve"> </w:t>
      </w:r>
      <w:r w:rsidR="00E47BBC" w:rsidRPr="002129DC">
        <w:rPr>
          <w:lang w:val="en-GB"/>
        </w:rPr>
        <w:t>for</w:t>
      </w:r>
      <w:r w:rsidR="00062838">
        <w:rPr>
          <w:lang w:val="en-GB"/>
        </w:rPr>
        <w:t xml:space="preserve"> </w:t>
      </w:r>
      <w:r w:rsidR="00607459">
        <w:rPr>
          <w:lang w:val="en-GB"/>
        </w:rPr>
        <w:t>Thursday</w:t>
      </w:r>
      <w:r w:rsidR="00062838">
        <w:rPr>
          <w:lang w:val="en-GB"/>
        </w:rPr>
        <w:t xml:space="preserve"> </w:t>
      </w:r>
      <w:r w:rsidR="00FD5D2D">
        <w:rPr>
          <w:lang w:val="en-GB"/>
        </w:rPr>
        <w:t>December</w:t>
      </w:r>
      <w:r w:rsidR="00062838">
        <w:rPr>
          <w:lang w:val="en-GB"/>
        </w:rPr>
        <w:t xml:space="preserve"> </w:t>
      </w:r>
      <w:r w:rsidR="00FD5D2D">
        <w:rPr>
          <w:lang w:val="en-GB"/>
        </w:rPr>
        <w:t>28</w:t>
      </w:r>
      <w:r w:rsidR="00E47BBC" w:rsidRPr="002129DC">
        <w:rPr>
          <w:vertAlign w:val="superscript"/>
          <w:lang w:val="en-GB"/>
        </w:rPr>
        <w:t>th</w:t>
      </w:r>
      <w:r w:rsidR="00062838">
        <w:rPr>
          <w:lang w:val="en-GB"/>
        </w:rPr>
        <w:t xml:space="preserve"> </w:t>
      </w:r>
      <w:r w:rsidR="008D1F42">
        <w:rPr>
          <w:lang w:val="en-GB"/>
        </w:rPr>
        <w:t>2017</w:t>
      </w:r>
      <w:r w:rsidR="00062838">
        <w:rPr>
          <w:lang w:val="en-GB"/>
        </w:rPr>
        <w:t xml:space="preserve"> </w:t>
      </w:r>
      <w:r w:rsidR="00E47BBC" w:rsidRPr="002129DC">
        <w:rPr>
          <w:lang w:val="en-GB"/>
        </w:rPr>
        <w:t>at</w:t>
      </w:r>
      <w:r w:rsidR="00062838">
        <w:rPr>
          <w:lang w:val="en-GB"/>
        </w:rPr>
        <w:t xml:space="preserve"> </w:t>
      </w:r>
      <w:r w:rsidR="00E47BBC" w:rsidRPr="002129DC">
        <w:rPr>
          <w:lang w:val="en-GB"/>
        </w:rPr>
        <w:t>15h</w:t>
      </w:r>
      <w:r w:rsidR="00062838">
        <w:rPr>
          <w:lang w:val="en-GB"/>
        </w:rPr>
        <w:t xml:space="preserve"> </w:t>
      </w:r>
      <w:r w:rsidR="00E47BBC" w:rsidRPr="002129DC">
        <w:rPr>
          <w:lang w:val="en-GB"/>
        </w:rPr>
        <w:t>EDT.</w:t>
      </w:r>
    </w:p>
    <w:p w14:paraId="6C1EA28D" w14:textId="77777777" w:rsidR="00FD17B0" w:rsidRPr="002129DC" w:rsidRDefault="00FD17B0" w:rsidP="00D11F69">
      <w:pPr>
        <w:rPr>
          <w:lang w:val="en-GB"/>
        </w:rPr>
      </w:pPr>
    </w:p>
    <w:p w14:paraId="6E4EF6ED" w14:textId="77777777" w:rsidR="00FD17B0" w:rsidRPr="002129DC" w:rsidRDefault="00FD17B0" w:rsidP="00D11F69">
      <w:pPr>
        <w:rPr>
          <w:lang w:val="en-GB"/>
        </w:rPr>
      </w:pPr>
    </w:p>
    <w:p w14:paraId="6663DE1A" w14:textId="77777777" w:rsidR="00F500DB" w:rsidRPr="002129DC" w:rsidRDefault="00F500DB">
      <w:pPr>
        <w:rPr>
          <w:rFonts w:ascii="Cambria" w:eastAsia="MS Mincho" w:hAnsi="Cambria" w:cs="Times New Roman"/>
          <w:lang w:val="en-GB"/>
        </w:rPr>
      </w:pPr>
    </w:p>
    <w:sectPr w:rsidR="00F500DB" w:rsidRPr="002129DC" w:rsidSect="0083325E">
      <w:headerReference w:type="default" r:id="rId13"/>
      <w:footerReference w:type="default" r:id="rId14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ECC9E" w14:textId="77777777" w:rsidR="00522CC6" w:rsidRDefault="00522CC6" w:rsidP="005839DC">
      <w:r>
        <w:separator/>
      </w:r>
    </w:p>
  </w:endnote>
  <w:endnote w:type="continuationSeparator" w:id="0">
    <w:p w14:paraId="03829390" w14:textId="77777777" w:rsidR="00522CC6" w:rsidRDefault="00522CC6" w:rsidP="0058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379F3" w14:textId="77777777" w:rsidR="008D1F42" w:rsidRDefault="008D1F4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165EEA76" wp14:editId="52557E44">
          <wp:simplePos x="0" y="0"/>
          <wp:positionH relativeFrom="page">
            <wp:posOffset>7200900</wp:posOffset>
          </wp:positionH>
          <wp:positionV relativeFrom="page">
            <wp:posOffset>6972300</wp:posOffset>
          </wp:positionV>
          <wp:extent cx="647700" cy="2228215"/>
          <wp:effectExtent l="0" t="0" r="1270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ass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222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2B1F" w14:textId="77777777" w:rsidR="008D1F42" w:rsidRDefault="008D1F4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7126820" wp14:editId="48318571">
          <wp:simplePos x="0" y="0"/>
          <wp:positionH relativeFrom="page">
            <wp:posOffset>7200900</wp:posOffset>
          </wp:positionH>
          <wp:positionV relativeFrom="page">
            <wp:posOffset>6972300</wp:posOffset>
          </wp:positionV>
          <wp:extent cx="647700" cy="2228215"/>
          <wp:effectExtent l="0" t="0" r="1270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ass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222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DEE80" w14:textId="77777777" w:rsidR="00522CC6" w:rsidRDefault="00522CC6" w:rsidP="005839DC">
      <w:r>
        <w:separator/>
      </w:r>
    </w:p>
  </w:footnote>
  <w:footnote w:type="continuationSeparator" w:id="0">
    <w:p w14:paraId="36C63DEB" w14:textId="77777777" w:rsidR="00522CC6" w:rsidRDefault="00522CC6" w:rsidP="005839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879C0" w14:textId="77777777" w:rsidR="008D1F42" w:rsidRDefault="008D1F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B575C" w14:textId="77777777" w:rsidR="008D1F42" w:rsidRDefault="008D1F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42.35pt;height:132.3pt" o:bullet="t">
        <v:imagedata r:id="rId1" o:title="OZ"/>
      </v:shape>
    </w:pict>
  </w:numPicBullet>
  <w:abstractNum w:abstractNumId="0">
    <w:nsid w:val="01C04DDE"/>
    <w:multiLevelType w:val="hybridMultilevel"/>
    <w:tmpl w:val="CB7A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0930"/>
    <w:multiLevelType w:val="hybridMultilevel"/>
    <w:tmpl w:val="5018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D2959"/>
    <w:multiLevelType w:val="hybridMultilevel"/>
    <w:tmpl w:val="CB7A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62BC3"/>
    <w:multiLevelType w:val="hybridMultilevel"/>
    <w:tmpl w:val="419A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C129E"/>
    <w:multiLevelType w:val="hybridMultilevel"/>
    <w:tmpl w:val="C8CE0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733CE"/>
    <w:multiLevelType w:val="hybridMultilevel"/>
    <w:tmpl w:val="6090F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861869"/>
    <w:multiLevelType w:val="hybridMultilevel"/>
    <w:tmpl w:val="48BC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70B68"/>
    <w:multiLevelType w:val="hybridMultilevel"/>
    <w:tmpl w:val="863E8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520C1"/>
    <w:multiLevelType w:val="hybridMultilevel"/>
    <w:tmpl w:val="AC7C9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67B8B"/>
    <w:multiLevelType w:val="hybridMultilevel"/>
    <w:tmpl w:val="BEFA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77CC4"/>
    <w:multiLevelType w:val="hybridMultilevel"/>
    <w:tmpl w:val="6080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A206E"/>
    <w:multiLevelType w:val="hybridMultilevel"/>
    <w:tmpl w:val="911AFBCE"/>
    <w:lvl w:ilvl="0" w:tplc="17F8CAD4">
      <w:start w:val="1"/>
      <w:numFmt w:val="bullet"/>
      <w:lvlText w:val=""/>
      <w:lvlPicBulletId w:val="0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61C62"/>
    <w:multiLevelType w:val="hybridMultilevel"/>
    <w:tmpl w:val="3DAA1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D1"/>
    <w:rsid w:val="000009E2"/>
    <w:rsid w:val="00007390"/>
    <w:rsid w:val="00011354"/>
    <w:rsid w:val="00015345"/>
    <w:rsid w:val="00033639"/>
    <w:rsid w:val="0004317E"/>
    <w:rsid w:val="0004638F"/>
    <w:rsid w:val="00062838"/>
    <w:rsid w:val="0009598F"/>
    <w:rsid w:val="000C2023"/>
    <w:rsid w:val="000E5FB3"/>
    <w:rsid w:val="000F74B5"/>
    <w:rsid w:val="00100472"/>
    <w:rsid w:val="00105E19"/>
    <w:rsid w:val="0010717C"/>
    <w:rsid w:val="00120A71"/>
    <w:rsid w:val="00123D7B"/>
    <w:rsid w:val="00132FF9"/>
    <w:rsid w:val="00153348"/>
    <w:rsid w:val="00156C82"/>
    <w:rsid w:val="00184A68"/>
    <w:rsid w:val="00186E9E"/>
    <w:rsid w:val="001C3972"/>
    <w:rsid w:val="001D0EB7"/>
    <w:rsid w:val="002129DC"/>
    <w:rsid w:val="0022714B"/>
    <w:rsid w:val="00242928"/>
    <w:rsid w:val="002525FE"/>
    <w:rsid w:val="00253FB0"/>
    <w:rsid w:val="00254190"/>
    <w:rsid w:val="00254CB8"/>
    <w:rsid w:val="00266D11"/>
    <w:rsid w:val="00277CBC"/>
    <w:rsid w:val="002937D3"/>
    <w:rsid w:val="002B1565"/>
    <w:rsid w:val="002B18A6"/>
    <w:rsid w:val="002B7ED4"/>
    <w:rsid w:val="002E3084"/>
    <w:rsid w:val="00320254"/>
    <w:rsid w:val="00346AAD"/>
    <w:rsid w:val="00353680"/>
    <w:rsid w:val="00360434"/>
    <w:rsid w:val="0036353A"/>
    <w:rsid w:val="003748F6"/>
    <w:rsid w:val="0039399E"/>
    <w:rsid w:val="003A7387"/>
    <w:rsid w:val="003C6D81"/>
    <w:rsid w:val="003D3F43"/>
    <w:rsid w:val="003E0A02"/>
    <w:rsid w:val="003E2A23"/>
    <w:rsid w:val="003F293A"/>
    <w:rsid w:val="004154A1"/>
    <w:rsid w:val="0042194B"/>
    <w:rsid w:val="00465A8F"/>
    <w:rsid w:val="00466D92"/>
    <w:rsid w:val="00472CCB"/>
    <w:rsid w:val="00482DFE"/>
    <w:rsid w:val="0049387F"/>
    <w:rsid w:val="004953CF"/>
    <w:rsid w:val="004B4AAA"/>
    <w:rsid w:val="004E1852"/>
    <w:rsid w:val="004E205A"/>
    <w:rsid w:val="00500340"/>
    <w:rsid w:val="00522126"/>
    <w:rsid w:val="00522CC6"/>
    <w:rsid w:val="00530B55"/>
    <w:rsid w:val="00536F90"/>
    <w:rsid w:val="00546AB4"/>
    <w:rsid w:val="00575A46"/>
    <w:rsid w:val="005806DA"/>
    <w:rsid w:val="005839DC"/>
    <w:rsid w:val="005843AB"/>
    <w:rsid w:val="00584555"/>
    <w:rsid w:val="00592DD9"/>
    <w:rsid w:val="005A4C70"/>
    <w:rsid w:val="005C1865"/>
    <w:rsid w:val="005F4D59"/>
    <w:rsid w:val="005F5F09"/>
    <w:rsid w:val="00607459"/>
    <w:rsid w:val="00612EC7"/>
    <w:rsid w:val="00621F97"/>
    <w:rsid w:val="00625ED5"/>
    <w:rsid w:val="00651D2B"/>
    <w:rsid w:val="00653C30"/>
    <w:rsid w:val="00655912"/>
    <w:rsid w:val="006606DF"/>
    <w:rsid w:val="0068027E"/>
    <w:rsid w:val="006A41E3"/>
    <w:rsid w:val="006C5F08"/>
    <w:rsid w:val="006D2227"/>
    <w:rsid w:val="006E1B51"/>
    <w:rsid w:val="006F75CA"/>
    <w:rsid w:val="00705A59"/>
    <w:rsid w:val="00722902"/>
    <w:rsid w:val="007247CC"/>
    <w:rsid w:val="00750E91"/>
    <w:rsid w:val="0076095E"/>
    <w:rsid w:val="00765965"/>
    <w:rsid w:val="00781053"/>
    <w:rsid w:val="00787A10"/>
    <w:rsid w:val="007C05BF"/>
    <w:rsid w:val="00811DFF"/>
    <w:rsid w:val="00831B50"/>
    <w:rsid w:val="0083213E"/>
    <w:rsid w:val="0083325E"/>
    <w:rsid w:val="00835F58"/>
    <w:rsid w:val="00836076"/>
    <w:rsid w:val="00852FC2"/>
    <w:rsid w:val="00871BD2"/>
    <w:rsid w:val="008A5AB5"/>
    <w:rsid w:val="008B052A"/>
    <w:rsid w:val="008C55D4"/>
    <w:rsid w:val="008D1F42"/>
    <w:rsid w:val="008D2389"/>
    <w:rsid w:val="008E6546"/>
    <w:rsid w:val="0090192C"/>
    <w:rsid w:val="00927D85"/>
    <w:rsid w:val="009556E7"/>
    <w:rsid w:val="00966035"/>
    <w:rsid w:val="00974C6D"/>
    <w:rsid w:val="00991556"/>
    <w:rsid w:val="00997BE2"/>
    <w:rsid w:val="009B3518"/>
    <w:rsid w:val="009B7967"/>
    <w:rsid w:val="009D7F68"/>
    <w:rsid w:val="00A008B1"/>
    <w:rsid w:val="00A10BC4"/>
    <w:rsid w:val="00A1386C"/>
    <w:rsid w:val="00A23684"/>
    <w:rsid w:val="00A26A10"/>
    <w:rsid w:val="00A34084"/>
    <w:rsid w:val="00A53B91"/>
    <w:rsid w:val="00A60ED4"/>
    <w:rsid w:val="00A8395F"/>
    <w:rsid w:val="00A85E7F"/>
    <w:rsid w:val="00A8723F"/>
    <w:rsid w:val="00AB2411"/>
    <w:rsid w:val="00B157E4"/>
    <w:rsid w:val="00B205B2"/>
    <w:rsid w:val="00B23EE4"/>
    <w:rsid w:val="00B33644"/>
    <w:rsid w:val="00B52D53"/>
    <w:rsid w:val="00B721CB"/>
    <w:rsid w:val="00BA231D"/>
    <w:rsid w:val="00BB2B35"/>
    <w:rsid w:val="00BB6AA6"/>
    <w:rsid w:val="00BC60E2"/>
    <w:rsid w:val="00BC6357"/>
    <w:rsid w:val="00BE0C1D"/>
    <w:rsid w:val="00BE3B47"/>
    <w:rsid w:val="00BF5993"/>
    <w:rsid w:val="00BF5F95"/>
    <w:rsid w:val="00C05867"/>
    <w:rsid w:val="00C101B0"/>
    <w:rsid w:val="00C13151"/>
    <w:rsid w:val="00C23BC7"/>
    <w:rsid w:val="00C47566"/>
    <w:rsid w:val="00C72F0A"/>
    <w:rsid w:val="00C851FF"/>
    <w:rsid w:val="00CA7B23"/>
    <w:rsid w:val="00CB1CD0"/>
    <w:rsid w:val="00CD6DD6"/>
    <w:rsid w:val="00CE23EB"/>
    <w:rsid w:val="00CE372F"/>
    <w:rsid w:val="00CF0478"/>
    <w:rsid w:val="00D11F69"/>
    <w:rsid w:val="00D12F15"/>
    <w:rsid w:val="00D2295C"/>
    <w:rsid w:val="00D32AE3"/>
    <w:rsid w:val="00D51BD7"/>
    <w:rsid w:val="00D623A6"/>
    <w:rsid w:val="00D651BF"/>
    <w:rsid w:val="00D87AA4"/>
    <w:rsid w:val="00DB1940"/>
    <w:rsid w:val="00DC0CB9"/>
    <w:rsid w:val="00DD017F"/>
    <w:rsid w:val="00DD7C23"/>
    <w:rsid w:val="00DE5869"/>
    <w:rsid w:val="00DE69A6"/>
    <w:rsid w:val="00E05E3C"/>
    <w:rsid w:val="00E12706"/>
    <w:rsid w:val="00E227A5"/>
    <w:rsid w:val="00E40CC9"/>
    <w:rsid w:val="00E47BBC"/>
    <w:rsid w:val="00E93CD1"/>
    <w:rsid w:val="00EC24E5"/>
    <w:rsid w:val="00EF03D1"/>
    <w:rsid w:val="00EF117B"/>
    <w:rsid w:val="00EF2B47"/>
    <w:rsid w:val="00F13F14"/>
    <w:rsid w:val="00F2006F"/>
    <w:rsid w:val="00F3675C"/>
    <w:rsid w:val="00F500DB"/>
    <w:rsid w:val="00FA0CD2"/>
    <w:rsid w:val="00FB2E6C"/>
    <w:rsid w:val="00FD17B0"/>
    <w:rsid w:val="00FD5D2D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9E8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D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1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9DC"/>
  </w:style>
  <w:style w:type="paragraph" w:styleId="Footer">
    <w:name w:val="footer"/>
    <w:basedOn w:val="Normal"/>
    <w:link w:val="FooterChar"/>
    <w:uiPriority w:val="99"/>
    <w:unhideWhenUsed/>
    <w:rsid w:val="00583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DC"/>
  </w:style>
  <w:style w:type="paragraph" w:styleId="NormalWeb">
    <w:name w:val="Normal (Web)"/>
    <w:basedOn w:val="Normal"/>
    <w:uiPriority w:val="99"/>
    <w:semiHidden/>
    <w:unhideWhenUsed/>
    <w:rsid w:val="0076095E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B18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1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1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1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1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1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561</Words>
  <Characters>3200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Quaade</dc:creator>
  <cp:keywords/>
  <dc:description/>
  <cp:lastModifiedBy>Christian Quaade</cp:lastModifiedBy>
  <cp:revision>3</cp:revision>
  <cp:lastPrinted>2016-09-23T11:43:00Z</cp:lastPrinted>
  <dcterms:created xsi:type="dcterms:W3CDTF">2017-09-29T14:10:00Z</dcterms:created>
  <dcterms:modified xsi:type="dcterms:W3CDTF">2017-09-29T14:11:00Z</dcterms:modified>
</cp:coreProperties>
</file>